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421" w:rsidRDefault="001D6421" w:rsidP="001D6421">
      <w:pPr>
        <w:spacing w:line="360" w:lineRule="auto"/>
        <w:jc w:val="center"/>
        <w:rPr>
          <w:rFonts w:eastAsia="Times New Roman"/>
          <w:b/>
          <w:color w:val="00B0F0"/>
          <w:sz w:val="28"/>
          <w:szCs w:val="28"/>
          <w:lang w:val="en-GB"/>
        </w:rPr>
      </w:pPr>
      <w:r w:rsidRPr="00A05FC1">
        <w:rPr>
          <w:rFonts w:eastAsia="Times New Roman"/>
          <w:b/>
          <w:color w:val="00B0F0"/>
          <w:sz w:val="28"/>
          <w:szCs w:val="28"/>
        </w:rPr>
        <w:t xml:space="preserve">BÀI TẬP TRẮC NGHIỆM LỊCH SỬ LỚP 9 BÀI </w:t>
      </w:r>
      <w:r w:rsidR="00F441C2" w:rsidRPr="00A05FC1">
        <w:rPr>
          <w:rFonts w:eastAsia="Times New Roman"/>
          <w:b/>
          <w:color w:val="00B0F0"/>
          <w:sz w:val="28"/>
          <w:szCs w:val="28"/>
        </w:rPr>
        <w:t>1</w:t>
      </w:r>
      <w:r w:rsidR="00C211EA">
        <w:rPr>
          <w:rFonts w:eastAsia="Times New Roman"/>
          <w:b/>
          <w:color w:val="00B0F0"/>
          <w:sz w:val="28"/>
          <w:szCs w:val="28"/>
        </w:rPr>
        <w:t>5</w:t>
      </w:r>
      <w:r w:rsidRPr="00A05FC1">
        <w:rPr>
          <w:rFonts w:eastAsia="Times New Roman"/>
          <w:b/>
          <w:color w:val="00B0F0"/>
          <w:sz w:val="28"/>
          <w:szCs w:val="28"/>
          <w:lang w:val="en-GB"/>
        </w:rPr>
        <w:t>:</w:t>
      </w:r>
    </w:p>
    <w:p w:rsidR="00B3093C" w:rsidRDefault="00B3093C" w:rsidP="001D6421">
      <w:pPr>
        <w:spacing w:line="360" w:lineRule="auto"/>
        <w:jc w:val="center"/>
        <w:rPr>
          <w:rFonts w:eastAsia="Times New Roman"/>
          <w:b/>
          <w:color w:val="FF0000"/>
          <w:sz w:val="28"/>
          <w:szCs w:val="28"/>
          <w:lang w:val="en-GB"/>
        </w:rPr>
      </w:pPr>
      <w:r w:rsidRPr="00B3093C">
        <w:rPr>
          <w:rFonts w:eastAsia="Times New Roman"/>
          <w:b/>
          <w:color w:val="FF0000"/>
          <w:sz w:val="28"/>
          <w:szCs w:val="28"/>
          <w:lang w:val="en-GB"/>
        </w:rPr>
        <w:t xml:space="preserve">PHONG TRÀO CÁCH MẠNG VIỆT NAM SAU CHIẾN TRANH </w:t>
      </w:r>
    </w:p>
    <w:p w:rsidR="00B3093C" w:rsidRDefault="00B3093C" w:rsidP="001D6421">
      <w:pPr>
        <w:spacing w:line="360" w:lineRule="auto"/>
        <w:jc w:val="center"/>
        <w:rPr>
          <w:rFonts w:eastAsia="Times New Roman"/>
          <w:b/>
          <w:color w:val="FF0000"/>
          <w:sz w:val="28"/>
          <w:szCs w:val="28"/>
          <w:lang w:val="en-GB"/>
        </w:rPr>
      </w:pPr>
      <w:r w:rsidRPr="00B3093C">
        <w:rPr>
          <w:rFonts w:eastAsia="Times New Roman"/>
          <w:b/>
          <w:color w:val="FF0000"/>
          <w:sz w:val="28"/>
          <w:szCs w:val="28"/>
          <w:lang w:val="en-GB"/>
        </w:rPr>
        <w:t>THẾ GIỚI THỨ NHẤT (1919-1926)</w:t>
      </w:r>
    </w:p>
    <w:p w:rsidR="00066766" w:rsidRDefault="00066766" w:rsidP="00066766">
      <w:pPr>
        <w:spacing w:before="60"/>
        <w:jc w:val="both"/>
      </w:pPr>
      <w:r w:rsidRPr="00244C5C">
        <w:rPr>
          <w:b/>
          <w:color w:val="0000FF"/>
        </w:rPr>
        <w:t>Câu 1:</w:t>
      </w:r>
      <w:r>
        <w:t xml:space="preserve"> Đảng Lập hiến là tổ chức của giai cấp, tầng lớp nào?</w:t>
      </w:r>
    </w:p>
    <w:p w:rsidR="00066766" w:rsidRDefault="00066766" w:rsidP="00066766">
      <w:pPr>
        <w:tabs>
          <w:tab w:val="left" w:pos="5136"/>
        </w:tabs>
        <w:ind w:firstLine="283"/>
      </w:pPr>
      <w:r w:rsidRPr="00244C5C">
        <w:rPr>
          <w:b/>
          <w:color w:val="3366FF"/>
        </w:rPr>
        <w:t xml:space="preserve">A. </w:t>
      </w:r>
      <w:r>
        <w:t>Công nhân.</w:t>
      </w:r>
      <w:r>
        <w:tab/>
      </w:r>
      <w:r w:rsidRPr="00244C5C">
        <w:rPr>
          <w:b/>
          <w:color w:val="3366FF"/>
        </w:rPr>
        <w:t xml:space="preserve">B. </w:t>
      </w:r>
      <w:r>
        <w:t>Tiểu tư sản trí thức.</w:t>
      </w:r>
    </w:p>
    <w:p w:rsidR="00066766" w:rsidRDefault="00066766" w:rsidP="00066766">
      <w:pPr>
        <w:tabs>
          <w:tab w:val="left" w:pos="5136"/>
        </w:tabs>
        <w:ind w:firstLine="283"/>
      </w:pPr>
      <w:r w:rsidRPr="00244C5C">
        <w:rPr>
          <w:b/>
          <w:color w:val="3366FF"/>
        </w:rPr>
        <w:t xml:space="preserve">C. </w:t>
      </w:r>
      <w:r>
        <w:t>Tư sản dân tộc.</w:t>
      </w:r>
      <w:r>
        <w:tab/>
      </w:r>
      <w:r w:rsidRPr="00244C5C">
        <w:rPr>
          <w:b/>
          <w:color w:val="3366FF"/>
        </w:rPr>
        <w:t xml:space="preserve">D. </w:t>
      </w:r>
      <w:r>
        <w:t>Tư sản và địa chủ Nam Kì.</w:t>
      </w:r>
    </w:p>
    <w:p w:rsidR="00066766" w:rsidRDefault="00066766" w:rsidP="00066766">
      <w:pPr>
        <w:spacing w:before="60"/>
        <w:jc w:val="both"/>
      </w:pPr>
      <w:r w:rsidRPr="00244C5C">
        <w:rPr>
          <w:b/>
          <w:color w:val="0000FF"/>
        </w:rPr>
        <w:t>Câu 2:</w:t>
      </w:r>
      <w:r>
        <w:t xml:space="preserve"> Cuộc đấu tranh của giai cấp công nhân Việt Nam thời kỳ này còn lẻ tẻ, tự phát nhưng ý thức giai cấp phát triển nhanh chóng. Đó là đặc điểm của phong trào công nhân Việt Nam thời kỳ nào?</w:t>
      </w:r>
    </w:p>
    <w:p w:rsidR="00066766" w:rsidRDefault="00066766" w:rsidP="00066766">
      <w:pPr>
        <w:tabs>
          <w:tab w:val="left" w:pos="2708"/>
          <w:tab w:val="left" w:pos="5138"/>
          <w:tab w:val="left" w:pos="7569"/>
        </w:tabs>
        <w:ind w:firstLine="283"/>
      </w:pPr>
      <w:r w:rsidRPr="00244C5C">
        <w:rPr>
          <w:b/>
          <w:color w:val="3366FF"/>
        </w:rPr>
        <w:t xml:space="preserve">A. </w:t>
      </w:r>
      <w:r>
        <w:t>1919-1926.</w:t>
      </w:r>
      <w:r>
        <w:tab/>
      </w:r>
      <w:r w:rsidRPr="00244C5C">
        <w:rPr>
          <w:b/>
          <w:color w:val="3366FF"/>
        </w:rPr>
        <w:t xml:space="preserve">B. </w:t>
      </w:r>
      <w:r>
        <w:t>1919-1924.</w:t>
      </w:r>
      <w:r>
        <w:tab/>
      </w:r>
      <w:r w:rsidRPr="00244C5C">
        <w:rPr>
          <w:b/>
          <w:color w:val="3366FF"/>
        </w:rPr>
        <w:t xml:space="preserve">C. </w:t>
      </w:r>
      <w:r>
        <w:t>1919-1927.</w:t>
      </w:r>
      <w:r>
        <w:tab/>
      </w:r>
      <w:r w:rsidRPr="00244C5C">
        <w:rPr>
          <w:b/>
          <w:color w:val="3366FF"/>
        </w:rPr>
        <w:t xml:space="preserve">D. </w:t>
      </w:r>
      <w:r>
        <w:t>1919-1925.</w:t>
      </w:r>
    </w:p>
    <w:p w:rsidR="00066766" w:rsidRDefault="00066766" w:rsidP="00066766">
      <w:pPr>
        <w:spacing w:before="60"/>
        <w:jc w:val="both"/>
      </w:pPr>
      <w:r w:rsidRPr="00244C5C">
        <w:rPr>
          <w:b/>
          <w:color w:val="0000FF"/>
        </w:rPr>
        <w:t>Câu 3:</w:t>
      </w:r>
      <w:r>
        <w:t xml:space="preserve"> Sự kiện nào được ví như “chim én nhỏ báo hiệu mùa xuân”?</w:t>
      </w:r>
    </w:p>
    <w:p w:rsidR="00066766" w:rsidRDefault="00066766" w:rsidP="00066766">
      <w:pPr>
        <w:ind w:firstLine="283"/>
      </w:pPr>
      <w:r w:rsidRPr="00244C5C">
        <w:rPr>
          <w:b/>
          <w:color w:val="3366FF"/>
        </w:rPr>
        <w:t xml:space="preserve">A. </w:t>
      </w:r>
      <w:r>
        <w:t>Tiếng bom của Phạm Hồng Thái tại Sa Diện (Quảng Châu – Trung Quốc) (6/1924).</w:t>
      </w:r>
    </w:p>
    <w:p w:rsidR="00066766" w:rsidRDefault="00066766" w:rsidP="00066766">
      <w:pPr>
        <w:ind w:firstLine="283"/>
      </w:pPr>
      <w:r w:rsidRPr="00244C5C">
        <w:rPr>
          <w:b/>
          <w:color w:val="3366FF"/>
        </w:rPr>
        <w:t xml:space="preserve">B. </w:t>
      </w:r>
      <w:r>
        <w:t>Phong trào đấu tranh đòi thả tự do cho Phan Bội Châu (1925).</w:t>
      </w:r>
    </w:p>
    <w:p w:rsidR="00066766" w:rsidRDefault="00066766" w:rsidP="00066766">
      <w:pPr>
        <w:ind w:firstLine="283"/>
      </w:pPr>
      <w:r w:rsidRPr="00244C5C">
        <w:rPr>
          <w:b/>
          <w:color w:val="3366FF"/>
        </w:rPr>
        <w:t xml:space="preserve">C. </w:t>
      </w:r>
      <w:r>
        <w:t>Phong trào đấu tranh đòi để tang Phan Châu Trinh (1926).</w:t>
      </w:r>
    </w:p>
    <w:p w:rsidR="00066766" w:rsidRDefault="00066766" w:rsidP="00066766">
      <w:pPr>
        <w:ind w:firstLine="283"/>
      </w:pPr>
      <w:r w:rsidRPr="00244C5C">
        <w:rPr>
          <w:b/>
          <w:color w:val="3366FF"/>
        </w:rPr>
        <w:t xml:space="preserve">D. </w:t>
      </w:r>
      <w:r>
        <w:t>Khởi nghĩa Yên Bái (2/1930).</w:t>
      </w:r>
    </w:p>
    <w:p w:rsidR="00066766" w:rsidRDefault="00066766" w:rsidP="00066766">
      <w:pPr>
        <w:spacing w:before="60"/>
        <w:jc w:val="both"/>
      </w:pPr>
      <w:r w:rsidRPr="00244C5C">
        <w:rPr>
          <w:b/>
          <w:color w:val="0000FF"/>
        </w:rPr>
        <w:t>Câu 4:</w:t>
      </w:r>
      <w:r>
        <w:t xml:space="preserve"> Giai cấp tư sản dân tộc có những hoạt động gì trong những năm 1919 – 1926?</w:t>
      </w:r>
    </w:p>
    <w:p w:rsidR="00066766" w:rsidRDefault="00066766" w:rsidP="00066766">
      <w:pPr>
        <w:ind w:firstLine="283"/>
      </w:pPr>
      <w:r w:rsidRPr="00244C5C">
        <w:rPr>
          <w:b/>
          <w:color w:val="3366FF"/>
        </w:rPr>
        <w:t xml:space="preserve">A. </w:t>
      </w:r>
      <w:r>
        <w:t>Chống độc quyền cảng Sài Gòn.</w:t>
      </w:r>
    </w:p>
    <w:p w:rsidR="00066766" w:rsidRDefault="00066766" w:rsidP="00066766">
      <w:pPr>
        <w:ind w:firstLine="283"/>
      </w:pPr>
      <w:r w:rsidRPr="00244C5C">
        <w:rPr>
          <w:b/>
          <w:color w:val="3366FF"/>
        </w:rPr>
        <w:t xml:space="preserve">B. </w:t>
      </w:r>
      <w:r>
        <w:t>Lập Đảng Thanh niên, dùng báo chí bênh vực quyền lợi của mình.</w:t>
      </w:r>
    </w:p>
    <w:p w:rsidR="00066766" w:rsidRDefault="00066766" w:rsidP="00066766">
      <w:pPr>
        <w:ind w:firstLine="283"/>
      </w:pPr>
      <w:r w:rsidRPr="00244C5C">
        <w:rPr>
          <w:b/>
          <w:color w:val="3366FF"/>
        </w:rPr>
        <w:t xml:space="preserve">C. </w:t>
      </w:r>
      <w:r>
        <w:t>Không thỏa hiệp với thực dân Pháp.</w:t>
      </w:r>
    </w:p>
    <w:p w:rsidR="00066766" w:rsidRDefault="00066766" w:rsidP="00066766">
      <w:pPr>
        <w:ind w:firstLine="283"/>
      </w:pPr>
      <w:r w:rsidRPr="00244C5C">
        <w:rPr>
          <w:b/>
          <w:color w:val="3366FF"/>
        </w:rPr>
        <w:t xml:space="preserve">D. </w:t>
      </w:r>
      <w:r>
        <w:t>“Chấn hưng nội hóa”, “Bài trừ ngoại hóa”, chống độc quyền cảng Sài Gòn và độc quyền xuất khẩu lúa gạo Nam Kì.</w:t>
      </w:r>
    </w:p>
    <w:p w:rsidR="00066766" w:rsidRDefault="00066766" w:rsidP="00066766">
      <w:pPr>
        <w:jc w:val="both"/>
      </w:pPr>
      <w:r w:rsidRPr="00244C5C">
        <w:rPr>
          <w:b/>
          <w:color w:val="0000FF"/>
        </w:rPr>
        <w:t>Câu 5:</w:t>
      </w:r>
      <w:r>
        <w:t xml:space="preserve"> Hãy điền vào chỗ trống từ cho hợp nghĩa</w:t>
      </w:r>
    </w:p>
    <w:p w:rsidR="00066766" w:rsidRDefault="00066766" w:rsidP="00066766">
      <w:pPr>
        <w:spacing w:before="60"/>
        <w:ind w:firstLine="283"/>
        <w:jc w:val="both"/>
      </w:pPr>
      <w:r>
        <w:t xml:space="preserve"> Một số tư sản và địa chủ lớn ở Nam Kì (đại biểu là Nguyễn Phan Long, Bùi Quang Chiêu) đã thành lập ………………. để tập hợp lực lượng.</w:t>
      </w:r>
    </w:p>
    <w:p w:rsidR="00066766" w:rsidRDefault="00066766" w:rsidP="00066766">
      <w:pPr>
        <w:tabs>
          <w:tab w:val="left" w:pos="5136"/>
        </w:tabs>
        <w:ind w:firstLine="283"/>
      </w:pPr>
      <w:r w:rsidRPr="00244C5C">
        <w:rPr>
          <w:b/>
          <w:color w:val="3366FF"/>
        </w:rPr>
        <w:t xml:space="preserve">A. </w:t>
      </w:r>
      <w:r>
        <w:t>Việt Nam Quốc dân Đảng</w:t>
      </w:r>
      <w:r>
        <w:tab/>
      </w:r>
      <w:r w:rsidRPr="00244C5C">
        <w:rPr>
          <w:b/>
          <w:color w:val="3366FF"/>
        </w:rPr>
        <w:t xml:space="preserve">B. </w:t>
      </w:r>
      <w:r>
        <w:t>Tân Việt cách mạng Đảng</w:t>
      </w:r>
    </w:p>
    <w:p w:rsidR="00066766" w:rsidRDefault="00066766" w:rsidP="00066766">
      <w:pPr>
        <w:tabs>
          <w:tab w:val="left" w:pos="5136"/>
        </w:tabs>
        <w:ind w:firstLine="283"/>
      </w:pPr>
      <w:r w:rsidRPr="00244C5C">
        <w:rPr>
          <w:b/>
          <w:color w:val="3366FF"/>
        </w:rPr>
        <w:t xml:space="preserve">C. </w:t>
      </w:r>
      <w:r>
        <w:t>Đông Dương cộng sản Đảng</w:t>
      </w:r>
      <w:r>
        <w:tab/>
      </w:r>
      <w:r w:rsidRPr="00244C5C">
        <w:rPr>
          <w:b/>
          <w:color w:val="3366FF"/>
        </w:rPr>
        <w:t xml:space="preserve">D. </w:t>
      </w:r>
      <w:r>
        <w:t>Đảng Lập hiến Đông Dương</w:t>
      </w:r>
    </w:p>
    <w:p w:rsidR="00066766" w:rsidRDefault="00066766" w:rsidP="00066766">
      <w:pPr>
        <w:spacing w:before="60"/>
        <w:jc w:val="both"/>
      </w:pPr>
      <w:r w:rsidRPr="00244C5C">
        <w:rPr>
          <w:b/>
          <w:color w:val="0000FF"/>
        </w:rPr>
        <w:t>Câu 6:</w:t>
      </w:r>
      <w:r>
        <w:t xml:space="preserve"> Quá trình phát triển của phong trào công nhân Việt Nam từ 1919-1929 chia làm 2 giai đoạn, đó là giai đoạn nào?</w:t>
      </w:r>
    </w:p>
    <w:p w:rsidR="00066766" w:rsidRDefault="00066766" w:rsidP="00066766">
      <w:pPr>
        <w:tabs>
          <w:tab w:val="left" w:pos="5136"/>
        </w:tabs>
        <w:ind w:firstLine="283"/>
      </w:pPr>
      <w:r w:rsidRPr="00244C5C">
        <w:rPr>
          <w:b/>
          <w:color w:val="3366FF"/>
        </w:rPr>
        <w:t xml:space="preserve">A. </w:t>
      </w:r>
      <w:r>
        <w:t>1919-1926 và 1926-1929.</w:t>
      </w:r>
      <w:r>
        <w:tab/>
      </w:r>
      <w:r w:rsidRPr="00244C5C">
        <w:rPr>
          <w:b/>
          <w:color w:val="3366FF"/>
        </w:rPr>
        <w:t xml:space="preserve">B. </w:t>
      </w:r>
      <w:r>
        <w:t>1919-1925 và 1925-1929.</w:t>
      </w:r>
    </w:p>
    <w:p w:rsidR="00066766" w:rsidRDefault="00066766" w:rsidP="00066766">
      <w:pPr>
        <w:tabs>
          <w:tab w:val="left" w:pos="5136"/>
        </w:tabs>
        <w:ind w:firstLine="283"/>
      </w:pPr>
      <w:r w:rsidRPr="00244C5C">
        <w:rPr>
          <w:b/>
          <w:color w:val="3366FF"/>
        </w:rPr>
        <w:t xml:space="preserve">C. </w:t>
      </w:r>
      <w:r>
        <w:t>1919-1927 và 1927-1929.</w:t>
      </w:r>
      <w:r>
        <w:tab/>
      </w:r>
      <w:r w:rsidRPr="00244C5C">
        <w:rPr>
          <w:b/>
          <w:color w:val="3366FF"/>
        </w:rPr>
        <w:t xml:space="preserve">D. </w:t>
      </w:r>
      <w:r>
        <w:t>1919-1928 và 1928-1929.</w:t>
      </w:r>
    </w:p>
    <w:p w:rsidR="00066766" w:rsidRDefault="00066766" w:rsidP="00066766">
      <w:pPr>
        <w:spacing w:before="60"/>
        <w:jc w:val="both"/>
      </w:pPr>
      <w:r w:rsidRPr="00244C5C">
        <w:rPr>
          <w:b/>
          <w:color w:val="0000FF"/>
        </w:rPr>
        <w:t>Câu 7:</w:t>
      </w:r>
      <w:r>
        <w:t xml:space="preserve"> Hãy điền vào chỗ trống: Sang năm 1914, có nhiều cuộc bãi công của công nhân nhà máy dệt, rượu, xay gạo nổ ra ở…</w:t>
      </w:r>
    </w:p>
    <w:p w:rsidR="00066766" w:rsidRDefault="00066766" w:rsidP="00066766">
      <w:pPr>
        <w:tabs>
          <w:tab w:val="left" w:pos="5136"/>
        </w:tabs>
        <w:ind w:firstLine="283"/>
      </w:pPr>
      <w:r w:rsidRPr="00244C5C">
        <w:rPr>
          <w:b/>
          <w:color w:val="3366FF"/>
        </w:rPr>
        <w:t xml:space="preserve">A. </w:t>
      </w:r>
      <w:r>
        <w:t>Hà Nội, Vinh, Bến Thủy.</w:t>
      </w:r>
      <w:r>
        <w:tab/>
      </w:r>
      <w:r w:rsidRPr="00244C5C">
        <w:rPr>
          <w:b/>
          <w:color w:val="3366FF"/>
        </w:rPr>
        <w:t xml:space="preserve">B. </w:t>
      </w:r>
      <w:r>
        <w:t>Hà Nội, Hải Phòng, Hải Dương</w:t>
      </w:r>
    </w:p>
    <w:p w:rsidR="00066766" w:rsidRDefault="00066766" w:rsidP="00066766">
      <w:pPr>
        <w:tabs>
          <w:tab w:val="left" w:pos="5136"/>
        </w:tabs>
        <w:ind w:firstLine="283"/>
      </w:pPr>
      <w:r w:rsidRPr="00244C5C">
        <w:rPr>
          <w:b/>
          <w:color w:val="3366FF"/>
        </w:rPr>
        <w:t xml:space="preserve">C. </w:t>
      </w:r>
      <w:r>
        <w:t>Nam Định, Hà Nội, Hải Phòng</w:t>
      </w:r>
      <w:r>
        <w:tab/>
      </w:r>
      <w:r w:rsidRPr="00244C5C">
        <w:rPr>
          <w:b/>
          <w:color w:val="3366FF"/>
        </w:rPr>
        <w:t xml:space="preserve">D. </w:t>
      </w:r>
      <w:r>
        <w:t>Nghệ An, Hà Tĩnh, Hải Phòng</w:t>
      </w:r>
    </w:p>
    <w:p w:rsidR="00066766" w:rsidRDefault="00066766" w:rsidP="00066766">
      <w:pPr>
        <w:spacing w:before="60"/>
        <w:jc w:val="both"/>
      </w:pPr>
      <w:r w:rsidRPr="00244C5C">
        <w:rPr>
          <w:b/>
          <w:color w:val="0000FF"/>
        </w:rPr>
        <w:t>Câu 8:</w:t>
      </w:r>
      <w:r>
        <w:t xml:space="preserve"> Sau Chiến tranh thế giới thứ nhất, phong trào yêu nước theo khuynh hướng dân chủ tư sản phát triển mạnh mẽ vì:</w:t>
      </w:r>
    </w:p>
    <w:p w:rsidR="00066766" w:rsidRDefault="00066766" w:rsidP="00066766">
      <w:pPr>
        <w:ind w:firstLine="283"/>
      </w:pPr>
      <w:r w:rsidRPr="00244C5C">
        <w:rPr>
          <w:b/>
          <w:color w:val="3366FF"/>
        </w:rPr>
        <w:t xml:space="preserve">A. </w:t>
      </w:r>
      <w:r>
        <w:t>Do ảnh hưởng tư tưởng Tam dân của Tôn Trung Sơn.</w:t>
      </w:r>
    </w:p>
    <w:p w:rsidR="00066766" w:rsidRDefault="00066766" w:rsidP="00066766">
      <w:pPr>
        <w:ind w:firstLine="283"/>
      </w:pPr>
      <w:r w:rsidRPr="00244C5C">
        <w:rPr>
          <w:b/>
          <w:color w:val="3366FF"/>
        </w:rPr>
        <w:t xml:space="preserve">B. </w:t>
      </w:r>
      <w:r>
        <w:t>Chủ nghĩa Mác Lê-nin được truyền bá sâu rộng vào Việt Nam.</w:t>
      </w:r>
    </w:p>
    <w:p w:rsidR="00066766" w:rsidRDefault="00066766" w:rsidP="00066766">
      <w:pPr>
        <w:ind w:firstLine="283"/>
      </w:pPr>
      <w:r w:rsidRPr="00244C5C">
        <w:rPr>
          <w:b/>
          <w:color w:val="3366FF"/>
        </w:rPr>
        <w:t xml:space="preserve">C. </w:t>
      </w:r>
      <w:r>
        <w:t>Thực dân Pháp đang trên đà suy yếu.</w:t>
      </w:r>
    </w:p>
    <w:p w:rsidR="00066766" w:rsidRDefault="00066766" w:rsidP="00066766">
      <w:pPr>
        <w:ind w:firstLine="283"/>
      </w:pPr>
      <w:r w:rsidRPr="00244C5C">
        <w:rPr>
          <w:b/>
          <w:color w:val="3366FF"/>
        </w:rPr>
        <w:t xml:space="preserve">D. </w:t>
      </w:r>
      <w:r>
        <w:t>Giai cấp công nhân đã chuyển sang đấu tranh tự giác.</w:t>
      </w:r>
    </w:p>
    <w:p w:rsidR="00066766" w:rsidRDefault="00066766" w:rsidP="00066766">
      <w:pPr>
        <w:spacing w:before="60"/>
        <w:jc w:val="both"/>
      </w:pPr>
      <w:r w:rsidRPr="00244C5C">
        <w:rPr>
          <w:b/>
          <w:color w:val="0000FF"/>
        </w:rPr>
        <w:t>Câu 9:</w:t>
      </w:r>
      <w:r>
        <w:t xml:space="preserve"> Cuộc bãi công Ba Son 98/1925) có vị trí như thế nào trong phong trào công nhân nước ta sau Chiến tranh thế giới thứ nhất?</w:t>
      </w:r>
    </w:p>
    <w:p w:rsidR="00066766" w:rsidRDefault="00066766" w:rsidP="00066766">
      <w:pPr>
        <w:tabs>
          <w:tab w:val="left" w:pos="5136"/>
        </w:tabs>
        <w:ind w:firstLine="283"/>
      </w:pPr>
      <w:r w:rsidRPr="00244C5C">
        <w:rPr>
          <w:b/>
          <w:color w:val="3366FF"/>
        </w:rPr>
        <w:t xml:space="preserve">A. </w:t>
      </w:r>
      <w:r>
        <w:t>Là cuộc bãi công diễn ra trên quy mô lớn nhất</w:t>
      </w:r>
      <w:r>
        <w:tab/>
      </w:r>
      <w:r w:rsidRPr="00244C5C">
        <w:rPr>
          <w:b/>
          <w:color w:val="3366FF"/>
        </w:rPr>
        <w:t xml:space="preserve">B. </w:t>
      </w:r>
      <w:r>
        <w:t>Là cuộc bãi công mang lại nhiều thắng lợi</w:t>
      </w:r>
    </w:p>
    <w:p w:rsidR="00066766" w:rsidRDefault="00066766" w:rsidP="00066766">
      <w:pPr>
        <w:tabs>
          <w:tab w:val="left" w:pos="5136"/>
        </w:tabs>
        <w:ind w:firstLine="283"/>
      </w:pPr>
      <w:r w:rsidRPr="00244C5C">
        <w:rPr>
          <w:b/>
          <w:color w:val="3366FF"/>
        </w:rPr>
        <w:t xml:space="preserve">C. </w:t>
      </w:r>
      <w:r>
        <w:t>Là cuộc bãi công đánh dấu bước tiến mới của phong trào công nhân Việt Nam - giai cấp công nhân nước ta từ đây bước đầu đi vào đấu tranh tự giác</w:t>
      </w:r>
      <w:r>
        <w:tab/>
      </w:r>
      <w:r w:rsidRPr="00244C5C">
        <w:rPr>
          <w:b/>
          <w:color w:val="3366FF"/>
        </w:rPr>
        <w:t xml:space="preserve">D. </w:t>
      </w:r>
      <w:r>
        <w:t>Cả ba câu đều đúng</w:t>
      </w:r>
    </w:p>
    <w:p w:rsidR="00066766" w:rsidRDefault="00066766" w:rsidP="00066766">
      <w:pPr>
        <w:spacing w:before="60"/>
        <w:jc w:val="both"/>
      </w:pPr>
      <w:r w:rsidRPr="00244C5C">
        <w:rPr>
          <w:b/>
          <w:color w:val="0000FF"/>
        </w:rPr>
        <w:t>Câu 10:</w:t>
      </w:r>
      <w:r>
        <w:t xml:space="preserve"> Năm 1920, công nhân Sài Gòn – Chợ Lớn đã thành lập tổ chức gì, do ai đứng đầu?</w:t>
      </w:r>
    </w:p>
    <w:p w:rsidR="00066766" w:rsidRDefault="00066766" w:rsidP="00066766">
      <w:pPr>
        <w:ind w:firstLine="283"/>
      </w:pPr>
      <w:r w:rsidRPr="00244C5C">
        <w:rPr>
          <w:b/>
          <w:color w:val="3366FF"/>
        </w:rPr>
        <w:t xml:space="preserve">A. </w:t>
      </w:r>
      <w:r>
        <w:t>Tổ chức Việt Nam nghĩa đoàn, Tôn Đức Thắng đứng đầu.</w:t>
      </w:r>
    </w:p>
    <w:p w:rsidR="00066766" w:rsidRDefault="00066766" w:rsidP="00066766">
      <w:pPr>
        <w:ind w:firstLine="283"/>
      </w:pPr>
      <w:r w:rsidRPr="00244C5C">
        <w:rPr>
          <w:b/>
          <w:color w:val="3366FF"/>
        </w:rPr>
        <w:lastRenderedPageBreak/>
        <w:t xml:space="preserve">B. </w:t>
      </w:r>
      <w:r>
        <w:t>Đảng Thanh niên, do Tôn Đức Thắng đứng đầu.</w:t>
      </w:r>
    </w:p>
    <w:p w:rsidR="00066766" w:rsidRDefault="00066766" w:rsidP="00066766">
      <w:pPr>
        <w:ind w:firstLine="283"/>
      </w:pPr>
      <w:r w:rsidRPr="00244C5C">
        <w:rPr>
          <w:b/>
          <w:color w:val="3366FF"/>
        </w:rPr>
        <w:t xml:space="preserve">C. </w:t>
      </w:r>
      <w:r>
        <w:t>Tổ chức Công hội, do Tôn Đức Thắng đứng đầu.</w:t>
      </w:r>
    </w:p>
    <w:p w:rsidR="00066766" w:rsidRDefault="00066766" w:rsidP="00066766">
      <w:pPr>
        <w:ind w:firstLine="283"/>
      </w:pPr>
      <w:r w:rsidRPr="00244C5C">
        <w:rPr>
          <w:b/>
          <w:color w:val="3366FF"/>
        </w:rPr>
        <w:t xml:space="preserve">D. </w:t>
      </w:r>
      <w:r>
        <w:t>Tổ chức Hội Phục Việt, Tôn Đức Thắng đứng đầu.</w:t>
      </w:r>
    </w:p>
    <w:p w:rsidR="00066766" w:rsidRDefault="00066766" w:rsidP="00066766">
      <w:pPr>
        <w:spacing w:before="60"/>
        <w:jc w:val="both"/>
      </w:pPr>
      <w:r w:rsidRPr="00244C5C">
        <w:rPr>
          <w:b/>
          <w:color w:val="0000FF"/>
        </w:rPr>
        <w:t>Câu 11:</w:t>
      </w:r>
      <w:r>
        <w:t xml:space="preserve"> Sự kiện nào dưới đây đánh dấu phong trào đấu tranh của giai cấp công nhân Việt Nam đã đi vào con đường đấu tranh có tổ chức?</w:t>
      </w:r>
    </w:p>
    <w:p w:rsidR="00066766" w:rsidRDefault="00066766" w:rsidP="00066766">
      <w:pPr>
        <w:ind w:firstLine="283"/>
      </w:pPr>
      <w:r w:rsidRPr="00244C5C">
        <w:rPr>
          <w:b/>
          <w:color w:val="3366FF"/>
        </w:rPr>
        <w:t xml:space="preserve">A. </w:t>
      </w:r>
      <w:r>
        <w:t>Bãi công của thợ máy xưởng Ba Son – Sài Gòn (8/1925)</w:t>
      </w:r>
    </w:p>
    <w:p w:rsidR="00066766" w:rsidRDefault="00066766" w:rsidP="00066766">
      <w:pPr>
        <w:ind w:firstLine="283"/>
      </w:pPr>
      <w:r w:rsidRPr="00244C5C">
        <w:rPr>
          <w:b/>
          <w:color w:val="3366FF"/>
        </w:rPr>
        <w:t xml:space="preserve">B. </w:t>
      </w:r>
      <w:r>
        <w:t>Cuộc bãi công của 1000 công nhân nhà máy sợi Nam Định (1926)</w:t>
      </w:r>
    </w:p>
    <w:p w:rsidR="00066766" w:rsidRDefault="00066766" w:rsidP="00066766">
      <w:pPr>
        <w:ind w:firstLine="283"/>
      </w:pPr>
      <w:r w:rsidRPr="00244C5C">
        <w:rPr>
          <w:b/>
          <w:color w:val="3366FF"/>
        </w:rPr>
        <w:t xml:space="preserve">C. </w:t>
      </w:r>
      <w:r>
        <w:t>Cuộc bãi công của công nhân thợ nhuộm ở Chợ Lớn (1922).</w:t>
      </w:r>
    </w:p>
    <w:p w:rsidR="00066766" w:rsidRDefault="00066766" w:rsidP="00066766">
      <w:pPr>
        <w:ind w:firstLine="283"/>
      </w:pPr>
      <w:r w:rsidRPr="00244C5C">
        <w:rPr>
          <w:b/>
          <w:color w:val="3366FF"/>
        </w:rPr>
        <w:t xml:space="preserve">D. </w:t>
      </w:r>
      <w:r>
        <w:t>Tổng bãi công của công nhân Bắc Kì (1922)</w:t>
      </w:r>
    </w:p>
    <w:p w:rsidR="00066766" w:rsidRDefault="00066766" w:rsidP="00066766">
      <w:pPr>
        <w:spacing w:before="60"/>
        <w:jc w:val="both"/>
      </w:pPr>
      <w:r w:rsidRPr="00244C5C">
        <w:rPr>
          <w:b/>
          <w:color w:val="0000FF"/>
        </w:rPr>
        <w:t>Câu 12:</w:t>
      </w:r>
      <w:r>
        <w:t xml:space="preserve"> Sự kiện tiêu biểu trong phong trào yêu nước dân chủ công khai những năm 1924 – 1925 là sự kiện nào?</w:t>
      </w:r>
    </w:p>
    <w:p w:rsidR="00066766" w:rsidRDefault="00066766" w:rsidP="00066766">
      <w:pPr>
        <w:ind w:firstLine="283"/>
      </w:pPr>
      <w:r w:rsidRPr="00244C5C">
        <w:rPr>
          <w:b/>
          <w:color w:val="3366FF"/>
        </w:rPr>
        <w:t xml:space="preserve">A. </w:t>
      </w:r>
      <w:r>
        <w:t>Tiếng bom của Phạm Hồng Thái tại Sa Diện (Quảng Châu – Trung Quốc) (6/1924).</w:t>
      </w:r>
    </w:p>
    <w:p w:rsidR="00066766" w:rsidRDefault="00066766" w:rsidP="00066766">
      <w:pPr>
        <w:ind w:firstLine="283"/>
      </w:pPr>
      <w:r w:rsidRPr="00244C5C">
        <w:rPr>
          <w:b/>
          <w:color w:val="3366FF"/>
        </w:rPr>
        <w:t xml:space="preserve">B. </w:t>
      </w:r>
      <w:r>
        <w:t>Xuất bản những tờ báo tiến bộ và lập ra những nhà xuất bản tiến bộ.</w:t>
      </w:r>
    </w:p>
    <w:p w:rsidR="00066766" w:rsidRDefault="00066766" w:rsidP="00066766">
      <w:pPr>
        <w:ind w:firstLine="283"/>
      </w:pPr>
      <w:r w:rsidRPr="00244C5C">
        <w:rPr>
          <w:b/>
          <w:color w:val="3366FF"/>
        </w:rPr>
        <w:t xml:space="preserve">C. </w:t>
      </w:r>
      <w:r>
        <w:t>Tiếng bom của Phạm Hồng Thái và phong trào đấu tranh đòi thả tự do cho Phan Bội Châu (1925).</w:t>
      </w:r>
    </w:p>
    <w:p w:rsidR="00066766" w:rsidRDefault="00066766" w:rsidP="00066766">
      <w:pPr>
        <w:ind w:firstLine="283"/>
      </w:pPr>
      <w:r w:rsidRPr="00244C5C">
        <w:rPr>
          <w:b/>
          <w:color w:val="3366FF"/>
        </w:rPr>
        <w:t xml:space="preserve">D. </w:t>
      </w:r>
      <w:r>
        <w:t>Phong trào đấu tranh đòi thả tự do cho Phan Bội Châu (1925) và đấu tranh đòi để tang Phan Châu Trinh (1926).</w:t>
      </w:r>
    </w:p>
    <w:p w:rsidR="00066766" w:rsidRDefault="00066766" w:rsidP="00066766">
      <w:pPr>
        <w:spacing w:before="60"/>
        <w:jc w:val="both"/>
      </w:pPr>
      <w:r w:rsidRPr="00244C5C">
        <w:rPr>
          <w:b/>
          <w:color w:val="0000FF"/>
        </w:rPr>
        <w:t>Câu 13:</w:t>
      </w:r>
      <w:r>
        <w:t xml:space="preserve"> Những tổ chức chính trị như: Việt Nam nghĩa đoàn, Hội Phục Việt, Hội Hưng Nam, Đảng Thanh niên là tiền thân của?</w:t>
      </w:r>
    </w:p>
    <w:p w:rsidR="00066766" w:rsidRDefault="00066766" w:rsidP="00066766">
      <w:pPr>
        <w:tabs>
          <w:tab w:val="left" w:pos="5136"/>
        </w:tabs>
        <w:ind w:firstLine="283"/>
      </w:pPr>
      <w:r w:rsidRPr="00244C5C">
        <w:rPr>
          <w:b/>
          <w:color w:val="3366FF"/>
        </w:rPr>
        <w:t xml:space="preserve">A. </w:t>
      </w:r>
      <w:r>
        <w:t>Việt Nam Quốc dân Đảng.</w:t>
      </w:r>
      <w:r>
        <w:tab/>
      </w:r>
      <w:r w:rsidRPr="00244C5C">
        <w:rPr>
          <w:b/>
          <w:color w:val="3366FF"/>
        </w:rPr>
        <w:t xml:space="preserve">B. </w:t>
      </w:r>
      <w:r>
        <w:t>Tân Việt cách mạng Đảng</w:t>
      </w:r>
    </w:p>
    <w:p w:rsidR="00066766" w:rsidRDefault="00066766" w:rsidP="00066766">
      <w:pPr>
        <w:tabs>
          <w:tab w:val="left" w:pos="5136"/>
        </w:tabs>
        <w:ind w:firstLine="283"/>
      </w:pPr>
      <w:r w:rsidRPr="00244C5C">
        <w:rPr>
          <w:b/>
          <w:color w:val="3366FF"/>
        </w:rPr>
        <w:t xml:space="preserve">C. </w:t>
      </w:r>
      <w:r>
        <w:t>Hội Việt Nam cách mạng thanh niên.</w:t>
      </w:r>
      <w:r>
        <w:tab/>
      </w:r>
      <w:r w:rsidRPr="00244C5C">
        <w:rPr>
          <w:b/>
          <w:color w:val="3366FF"/>
        </w:rPr>
        <w:t xml:space="preserve">D. </w:t>
      </w:r>
      <w:r>
        <w:t>Đông Dương cộng sản Đảng.</w:t>
      </w:r>
    </w:p>
    <w:p w:rsidR="00066766" w:rsidRDefault="00066766" w:rsidP="00066766">
      <w:pPr>
        <w:spacing w:before="60"/>
        <w:jc w:val="both"/>
      </w:pPr>
      <w:r w:rsidRPr="00244C5C">
        <w:rPr>
          <w:b/>
          <w:color w:val="0000FF"/>
        </w:rPr>
        <w:t>Câu 14:</w:t>
      </w:r>
      <w:r>
        <w:t xml:space="preserve"> Phong trào công nhân trong những năm 1919 -1924 đấu tranh với mục tiêu chủ yếu là gì?</w:t>
      </w:r>
    </w:p>
    <w:p w:rsidR="00066766" w:rsidRDefault="00066766" w:rsidP="00066766">
      <w:pPr>
        <w:tabs>
          <w:tab w:val="left" w:pos="5136"/>
        </w:tabs>
        <w:ind w:firstLine="283"/>
      </w:pPr>
      <w:r w:rsidRPr="00244C5C">
        <w:rPr>
          <w:b/>
          <w:color w:val="3366FF"/>
        </w:rPr>
        <w:t xml:space="preserve">A. </w:t>
      </w:r>
      <w:r>
        <w:t>Đòi quyền lợi chính trị.</w:t>
      </w:r>
      <w:r>
        <w:tab/>
      </w:r>
      <w:r w:rsidRPr="00244C5C">
        <w:rPr>
          <w:b/>
          <w:color w:val="3366FF"/>
        </w:rPr>
        <w:t xml:space="preserve">B. </w:t>
      </w:r>
      <w:r>
        <w:t>Đòi quyền lợi kinh tế.</w:t>
      </w:r>
    </w:p>
    <w:p w:rsidR="00066766" w:rsidRDefault="00066766" w:rsidP="00066766">
      <w:pPr>
        <w:tabs>
          <w:tab w:val="left" w:pos="5136"/>
        </w:tabs>
        <w:ind w:firstLine="283"/>
      </w:pPr>
      <w:r w:rsidRPr="00244C5C">
        <w:rPr>
          <w:b/>
          <w:color w:val="3366FF"/>
        </w:rPr>
        <w:t xml:space="preserve">C. </w:t>
      </w:r>
      <w:r>
        <w:t>Đòi quyền lợi kinh tế và chính trị.</w:t>
      </w:r>
      <w:r>
        <w:tab/>
      </w:r>
      <w:r w:rsidRPr="00244C5C">
        <w:rPr>
          <w:b/>
          <w:color w:val="3366FF"/>
        </w:rPr>
        <w:t xml:space="preserve">D. </w:t>
      </w:r>
      <w:r>
        <w:t>Đấu tranh giải phóng dân tộc.</w:t>
      </w:r>
    </w:p>
    <w:p w:rsidR="00066766" w:rsidRDefault="00066766" w:rsidP="00066766">
      <w:pPr>
        <w:spacing w:before="60"/>
        <w:jc w:val="both"/>
      </w:pPr>
      <w:r w:rsidRPr="00244C5C">
        <w:rPr>
          <w:b/>
          <w:color w:val="0000FF"/>
        </w:rPr>
        <w:t>Câu 15:</w:t>
      </w:r>
      <w:r>
        <w:t xml:space="preserve"> Trong những năm 1919 – 1926, giai cấp tiểu tư sản có những tờ báo tiến bộ nào?</w:t>
      </w:r>
    </w:p>
    <w:p w:rsidR="00066766" w:rsidRDefault="00066766" w:rsidP="00066766">
      <w:pPr>
        <w:tabs>
          <w:tab w:val="left" w:pos="5136"/>
        </w:tabs>
        <w:ind w:firstLine="283"/>
      </w:pPr>
      <w:r w:rsidRPr="00244C5C">
        <w:rPr>
          <w:b/>
          <w:color w:val="3366FF"/>
        </w:rPr>
        <w:t xml:space="preserve">A. </w:t>
      </w:r>
      <w:r>
        <w:t>Người nhà quê, An Nam trẻ, Thanh niên.</w:t>
      </w:r>
      <w:r>
        <w:tab/>
      </w:r>
      <w:r w:rsidRPr="00244C5C">
        <w:rPr>
          <w:b/>
          <w:color w:val="3366FF"/>
        </w:rPr>
        <w:t xml:space="preserve">B. </w:t>
      </w:r>
      <w:r>
        <w:t>Chuông rè, An Nam trẻ, Người nhà quê.</w:t>
      </w:r>
    </w:p>
    <w:p w:rsidR="00066766" w:rsidRDefault="00066766" w:rsidP="00066766">
      <w:pPr>
        <w:tabs>
          <w:tab w:val="left" w:pos="5136"/>
        </w:tabs>
        <w:ind w:firstLine="283"/>
      </w:pPr>
      <w:r w:rsidRPr="00244C5C">
        <w:rPr>
          <w:b/>
          <w:color w:val="3366FF"/>
        </w:rPr>
        <w:t xml:space="preserve">C. </w:t>
      </w:r>
      <w:r>
        <w:t>Chuông rè, Tin tức, Thanh niên.</w:t>
      </w:r>
      <w:r>
        <w:tab/>
      </w:r>
      <w:r w:rsidRPr="00244C5C">
        <w:rPr>
          <w:b/>
          <w:color w:val="3366FF"/>
        </w:rPr>
        <w:t xml:space="preserve">D. </w:t>
      </w:r>
      <w:r>
        <w:t>Thanh niên, Chuông rè, An Nam trẻ.</w:t>
      </w:r>
    </w:p>
    <w:p w:rsidR="00066766" w:rsidRDefault="00066766" w:rsidP="00066766">
      <w:pPr>
        <w:spacing w:before="60"/>
        <w:jc w:val="both"/>
      </w:pPr>
      <w:r w:rsidRPr="00244C5C">
        <w:rPr>
          <w:b/>
          <w:color w:val="0000FF"/>
        </w:rPr>
        <w:t>Câu 16:</w:t>
      </w:r>
      <w:r>
        <w:t xml:space="preserve"> Phong trào yêu nước dân chủ công khai diễn ra vào năm 1924-1925, là phong trào nào?</w:t>
      </w:r>
    </w:p>
    <w:p w:rsidR="00066766" w:rsidRDefault="00066766" w:rsidP="00066766">
      <w:pPr>
        <w:ind w:firstLine="283"/>
      </w:pPr>
      <w:r w:rsidRPr="00244C5C">
        <w:rPr>
          <w:b/>
          <w:color w:val="3366FF"/>
        </w:rPr>
        <w:t xml:space="preserve">A. </w:t>
      </w:r>
      <w:r>
        <w:t>Tiếng bom của Phạm Hồng Thái và đấu tranh đòi thả tự do cho cụ Phan Bội Châu.</w:t>
      </w:r>
    </w:p>
    <w:p w:rsidR="00066766" w:rsidRDefault="00066766" w:rsidP="00066766">
      <w:pPr>
        <w:ind w:firstLine="283"/>
      </w:pPr>
      <w:r w:rsidRPr="00244C5C">
        <w:rPr>
          <w:b/>
          <w:color w:val="3366FF"/>
        </w:rPr>
        <w:t xml:space="preserve">B. </w:t>
      </w:r>
      <w:r>
        <w:t>Xuất bản những tờ báo tiến bộ và lập ra nhà xuất bản tiến bộ.</w:t>
      </w:r>
    </w:p>
    <w:p w:rsidR="00066766" w:rsidRDefault="00066766" w:rsidP="00066766">
      <w:pPr>
        <w:ind w:firstLine="283"/>
      </w:pPr>
      <w:r w:rsidRPr="00244C5C">
        <w:rPr>
          <w:b/>
          <w:color w:val="3366FF"/>
        </w:rPr>
        <w:t xml:space="preserve">C. </w:t>
      </w:r>
      <w:r>
        <w:t>Cuộc đấu tranh đòi nhà cầm quyền Pháp thả cụ Phan Bội Châu và đám tang cụ Phan Chu Trinh.</w:t>
      </w:r>
    </w:p>
    <w:p w:rsidR="00066766" w:rsidRDefault="00066766" w:rsidP="00066766">
      <w:pPr>
        <w:ind w:firstLine="283"/>
      </w:pPr>
      <w:r w:rsidRPr="00244C5C">
        <w:rPr>
          <w:b/>
          <w:color w:val="3366FF"/>
        </w:rPr>
        <w:t xml:space="preserve">D. </w:t>
      </w:r>
      <w:r>
        <w:t>Tiếng bom của Phạm Hồng Thái và đám tang cụ Phan Chu Trinh.</w:t>
      </w:r>
    </w:p>
    <w:p w:rsidR="00066766" w:rsidRDefault="00066766" w:rsidP="00066766">
      <w:pPr>
        <w:spacing w:before="60"/>
        <w:jc w:val="both"/>
      </w:pPr>
      <w:r w:rsidRPr="00244C5C">
        <w:rPr>
          <w:b/>
          <w:color w:val="0000FF"/>
        </w:rPr>
        <w:t>Câu 17:</w:t>
      </w:r>
      <w:r>
        <w:t xml:space="preserve"> Sự kiện nào thể hiện “Tư tưởng Cách mạng tháng Mười Nga đã thấm sâu hơn vào giai cấp công nhân và bắt đầu biến thành hành động của giai cấp công nhân Việt Nam”?</w:t>
      </w:r>
    </w:p>
    <w:p w:rsidR="00066766" w:rsidRDefault="00066766" w:rsidP="00066766">
      <w:pPr>
        <w:ind w:firstLine="283"/>
      </w:pPr>
      <w:r w:rsidRPr="00244C5C">
        <w:rPr>
          <w:b/>
          <w:color w:val="3366FF"/>
        </w:rPr>
        <w:t xml:space="preserve">A. </w:t>
      </w:r>
      <w:r>
        <w:t>Bãi công của thợ máy xưởng Ba Son cảng Sài Gòn (1925).</w:t>
      </w:r>
    </w:p>
    <w:p w:rsidR="00066766" w:rsidRDefault="00066766" w:rsidP="00066766">
      <w:pPr>
        <w:ind w:firstLine="283"/>
      </w:pPr>
      <w:r w:rsidRPr="00244C5C">
        <w:rPr>
          <w:b/>
          <w:color w:val="3366FF"/>
        </w:rPr>
        <w:t xml:space="preserve">B. </w:t>
      </w:r>
      <w:r>
        <w:t>Nguyễn Ái Quốc đọc sơ thảo luận cương của Lê nin về vấn đề dân tộc và thuộc địa (7-1920)</w:t>
      </w:r>
    </w:p>
    <w:p w:rsidR="00066766" w:rsidRDefault="00066766" w:rsidP="00066766">
      <w:pPr>
        <w:ind w:firstLine="283"/>
      </w:pPr>
      <w:r w:rsidRPr="00244C5C">
        <w:rPr>
          <w:b/>
          <w:color w:val="3366FF"/>
        </w:rPr>
        <w:t xml:space="preserve">C. </w:t>
      </w:r>
      <w:r>
        <w:t>Tiếng bom của Phạm Hồng Thái vang dội ở Sa Điện - Quảng Châu (6-1924).</w:t>
      </w:r>
    </w:p>
    <w:p w:rsidR="00066766" w:rsidRDefault="00066766" w:rsidP="00066766">
      <w:pPr>
        <w:ind w:firstLine="283"/>
      </w:pPr>
      <w:r w:rsidRPr="00244C5C">
        <w:rPr>
          <w:b/>
          <w:color w:val="3366FF"/>
        </w:rPr>
        <w:t xml:space="preserve">D. </w:t>
      </w:r>
      <w:r>
        <w:t>Nguyễn Ái Quốc gửi đến hội nghị Véc-xai bản yêu sách (1919).</w:t>
      </w:r>
    </w:p>
    <w:p w:rsidR="00066766" w:rsidRDefault="00066766" w:rsidP="00066766">
      <w:pPr>
        <w:spacing w:before="60"/>
        <w:jc w:val="both"/>
      </w:pPr>
      <w:r w:rsidRPr="00244C5C">
        <w:rPr>
          <w:b/>
          <w:color w:val="0000FF"/>
        </w:rPr>
        <w:t>Câu 18:</w:t>
      </w:r>
      <w:r>
        <w:t xml:space="preserve"> Các tổ chức Việt Nam Nghĩa đoàn, Hội Phục Việt, Đảng Thanh niên do tầng lớp nào thực lập ra?</w:t>
      </w:r>
    </w:p>
    <w:p w:rsidR="00066766" w:rsidRDefault="00066766" w:rsidP="00066766">
      <w:pPr>
        <w:tabs>
          <w:tab w:val="left" w:pos="5136"/>
        </w:tabs>
        <w:ind w:firstLine="283"/>
      </w:pPr>
      <w:r w:rsidRPr="00244C5C">
        <w:rPr>
          <w:b/>
          <w:color w:val="3366FF"/>
        </w:rPr>
        <w:t xml:space="preserve">A. </w:t>
      </w:r>
      <w:r>
        <w:t>Công nhân.</w:t>
      </w:r>
      <w:r>
        <w:tab/>
      </w:r>
      <w:r w:rsidRPr="00244C5C">
        <w:rPr>
          <w:b/>
          <w:color w:val="3366FF"/>
        </w:rPr>
        <w:t xml:space="preserve">B. </w:t>
      </w:r>
      <w:r>
        <w:t>Tiểu tư sản trí thức.</w:t>
      </w:r>
    </w:p>
    <w:p w:rsidR="00066766" w:rsidRDefault="00066766" w:rsidP="00066766">
      <w:pPr>
        <w:tabs>
          <w:tab w:val="left" w:pos="5136"/>
        </w:tabs>
        <w:ind w:firstLine="283"/>
      </w:pPr>
      <w:r w:rsidRPr="00244C5C">
        <w:rPr>
          <w:b/>
          <w:color w:val="3366FF"/>
        </w:rPr>
        <w:t xml:space="preserve">C. </w:t>
      </w:r>
      <w:r>
        <w:t>Tư sản và địa chủ Nam Kì.</w:t>
      </w:r>
      <w:r>
        <w:tab/>
      </w:r>
      <w:r w:rsidRPr="00244C5C">
        <w:rPr>
          <w:b/>
          <w:color w:val="3366FF"/>
        </w:rPr>
        <w:t xml:space="preserve">D. </w:t>
      </w:r>
      <w:r>
        <w:t>Tư sản dân tộc.</w:t>
      </w:r>
    </w:p>
    <w:p w:rsidR="00066766" w:rsidRDefault="00066766" w:rsidP="00066766">
      <w:pPr>
        <w:spacing w:before="60"/>
        <w:jc w:val="both"/>
      </w:pPr>
      <w:r w:rsidRPr="00244C5C">
        <w:rPr>
          <w:b/>
          <w:color w:val="0000FF"/>
        </w:rPr>
        <w:t>Câu 19:</w:t>
      </w:r>
      <w:r>
        <w:t xml:space="preserve"> Những sự kiện nào trên thế giới sau Chiến tranh thế giới thứ nhất có tác động sâu sắc nhất tới cách mạng Việt Nam?</w:t>
      </w:r>
    </w:p>
    <w:p w:rsidR="00066766" w:rsidRDefault="00066766" w:rsidP="00066766">
      <w:pPr>
        <w:ind w:firstLine="283"/>
      </w:pPr>
      <w:r w:rsidRPr="00244C5C">
        <w:rPr>
          <w:b/>
          <w:color w:val="3366FF"/>
        </w:rPr>
        <w:t xml:space="preserve">A. </w:t>
      </w:r>
      <w:r>
        <w:t>Phong trào giải phóng dân tộc ở các nước Á, Phi, Mĩ La-tinh.</w:t>
      </w:r>
    </w:p>
    <w:p w:rsidR="00066766" w:rsidRDefault="00066766" w:rsidP="00066766">
      <w:pPr>
        <w:ind w:firstLine="283"/>
      </w:pPr>
      <w:r w:rsidRPr="00244C5C">
        <w:rPr>
          <w:b/>
          <w:color w:val="3366FF"/>
        </w:rPr>
        <w:t xml:space="preserve">B. </w:t>
      </w:r>
      <w:r>
        <w:t>Sự ra đời của các Đảng Cộng sản ở các nước châu Âu.</w:t>
      </w:r>
    </w:p>
    <w:p w:rsidR="00066766" w:rsidRDefault="00066766" w:rsidP="00066766">
      <w:pPr>
        <w:ind w:firstLine="283"/>
      </w:pPr>
      <w:r w:rsidRPr="00244C5C">
        <w:rPr>
          <w:b/>
          <w:color w:val="3366FF"/>
        </w:rPr>
        <w:t xml:space="preserve">C. </w:t>
      </w:r>
      <w:r>
        <w:t>Thành công của Cách mạng tháng Mười Nga (1917) và sự thành lập Quốc tế cộng sản (2/1919).</w:t>
      </w:r>
    </w:p>
    <w:p w:rsidR="00066766" w:rsidRDefault="00066766" w:rsidP="00066766">
      <w:pPr>
        <w:ind w:firstLine="283"/>
      </w:pPr>
      <w:r w:rsidRPr="00244C5C">
        <w:rPr>
          <w:b/>
          <w:color w:val="3366FF"/>
        </w:rPr>
        <w:t xml:space="preserve">D. </w:t>
      </w:r>
      <w:r>
        <w:t>Hội nghị Véc-xai.</w:t>
      </w:r>
    </w:p>
    <w:p w:rsidR="00066766" w:rsidRDefault="00066766" w:rsidP="00066766">
      <w:pPr>
        <w:spacing w:before="60"/>
        <w:jc w:val="both"/>
      </w:pPr>
      <w:r w:rsidRPr="00244C5C">
        <w:rPr>
          <w:b/>
          <w:color w:val="0000FF"/>
        </w:rPr>
        <w:t>Câu 20:</w:t>
      </w:r>
      <w:r>
        <w:t xml:space="preserve"> Phong trào yêu nước dân tộc dân chủ công khai diễn ra từ</w:t>
      </w:r>
    </w:p>
    <w:p w:rsidR="00066766" w:rsidRDefault="00066766" w:rsidP="00066766">
      <w:pPr>
        <w:tabs>
          <w:tab w:val="left" w:pos="2708"/>
          <w:tab w:val="left" w:pos="5138"/>
          <w:tab w:val="left" w:pos="7569"/>
        </w:tabs>
        <w:ind w:firstLine="283"/>
      </w:pPr>
      <w:r w:rsidRPr="00244C5C">
        <w:rPr>
          <w:b/>
          <w:color w:val="3366FF"/>
        </w:rPr>
        <w:t xml:space="preserve">A. </w:t>
      </w:r>
      <w:r>
        <w:t>1919-1926</w:t>
      </w:r>
      <w:r>
        <w:tab/>
      </w:r>
      <w:r w:rsidRPr="00244C5C">
        <w:rPr>
          <w:b/>
          <w:color w:val="3366FF"/>
        </w:rPr>
        <w:t xml:space="preserve">B. </w:t>
      </w:r>
      <w:r>
        <w:t>1919-1925</w:t>
      </w:r>
      <w:r>
        <w:tab/>
      </w:r>
      <w:r w:rsidRPr="00244C5C">
        <w:rPr>
          <w:b/>
          <w:color w:val="3366FF"/>
        </w:rPr>
        <w:t xml:space="preserve">C. </w:t>
      </w:r>
      <w:r>
        <w:t>1919-1928</w:t>
      </w:r>
      <w:r>
        <w:tab/>
      </w:r>
      <w:r w:rsidRPr="00244C5C">
        <w:rPr>
          <w:b/>
          <w:color w:val="3366FF"/>
        </w:rPr>
        <w:t xml:space="preserve">D. </w:t>
      </w:r>
      <w:r>
        <w:t>1919-1927</w:t>
      </w:r>
    </w:p>
    <w:p w:rsidR="00384A08" w:rsidRDefault="00384A08" w:rsidP="00384A08">
      <w:pPr>
        <w:tabs>
          <w:tab w:val="left" w:pos="2708"/>
          <w:tab w:val="left" w:pos="5138"/>
          <w:tab w:val="left" w:pos="7569"/>
        </w:tabs>
        <w:jc w:val="center"/>
        <w:rPr>
          <w:b/>
          <w:color w:val="FF0000"/>
        </w:rPr>
      </w:pPr>
      <w:r w:rsidRPr="00384A08">
        <w:rPr>
          <w:b/>
          <w:color w:val="FF0000"/>
        </w:rPr>
        <w:t>ĐÁP ÁN</w:t>
      </w: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85"/>
        <w:gridCol w:w="1285"/>
        <w:gridCol w:w="1285"/>
        <w:gridCol w:w="1285"/>
        <w:gridCol w:w="1285"/>
        <w:gridCol w:w="1285"/>
        <w:gridCol w:w="1285"/>
        <w:gridCol w:w="1286"/>
      </w:tblGrid>
      <w:tr w:rsidR="00384A08" w:rsidRPr="00384A08" w:rsidTr="00384A08">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lastRenderedPageBreak/>
              <w:t>1</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D</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6</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B</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11</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A</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16</w:t>
            </w:r>
          </w:p>
        </w:tc>
        <w:tc>
          <w:tcPr>
            <w:tcW w:w="1286"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C</w:t>
            </w:r>
          </w:p>
        </w:tc>
      </w:tr>
      <w:tr w:rsidR="00384A08" w:rsidRPr="00384A08" w:rsidTr="00384A08">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2</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D</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7</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C</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12</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D</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17</w:t>
            </w:r>
          </w:p>
        </w:tc>
        <w:tc>
          <w:tcPr>
            <w:tcW w:w="1286"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A</w:t>
            </w:r>
          </w:p>
        </w:tc>
      </w:tr>
      <w:tr w:rsidR="00384A08" w:rsidRPr="00384A08" w:rsidTr="00384A08">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3</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A</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8</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A</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13</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B</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18</w:t>
            </w:r>
          </w:p>
        </w:tc>
        <w:tc>
          <w:tcPr>
            <w:tcW w:w="1286"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B</w:t>
            </w:r>
          </w:p>
        </w:tc>
      </w:tr>
      <w:tr w:rsidR="00384A08" w:rsidRPr="00384A08" w:rsidTr="00384A08">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4</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D</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9</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C</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14</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B</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19</w:t>
            </w:r>
          </w:p>
        </w:tc>
        <w:tc>
          <w:tcPr>
            <w:tcW w:w="1286"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C</w:t>
            </w:r>
          </w:p>
        </w:tc>
      </w:tr>
      <w:tr w:rsidR="00384A08" w:rsidRPr="00384A08" w:rsidTr="00384A08">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5</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D</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10</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C</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15</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B</w:t>
            </w:r>
          </w:p>
        </w:tc>
        <w:tc>
          <w:tcPr>
            <w:tcW w:w="1285"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20</w:t>
            </w:r>
          </w:p>
        </w:tc>
        <w:tc>
          <w:tcPr>
            <w:tcW w:w="1286" w:type="dxa"/>
          </w:tcPr>
          <w:p w:rsidR="00384A08" w:rsidRPr="00384A08" w:rsidRDefault="00384A08" w:rsidP="00F35274">
            <w:pPr>
              <w:widowControl/>
              <w:autoSpaceDE w:val="0"/>
              <w:autoSpaceDN w:val="0"/>
              <w:adjustRightInd w:val="0"/>
              <w:rPr>
                <w:color w:val="0070C0"/>
                <w:kern w:val="0"/>
                <w:szCs w:val="24"/>
                <w:lang w:eastAsia="en-US"/>
              </w:rPr>
            </w:pPr>
            <w:r w:rsidRPr="00384A08">
              <w:rPr>
                <w:color w:val="0070C0"/>
                <w:kern w:val="0"/>
                <w:szCs w:val="24"/>
                <w:lang w:eastAsia="en-US"/>
              </w:rPr>
              <w:t>A</w:t>
            </w:r>
          </w:p>
        </w:tc>
      </w:tr>
    </w:tbl>
    <w:p w:rsidR="00384A08" w:rsidRPr="00384A08" w:rsidRDefault="00384A08" w:rsidP="00384A08">
      <w:pPr>
        <w:tabs>
          <w:tab w:val="left" w:pos="2708"/>
          <w:tab w:val="left" w:pos="5138"/>
          <w:tab w:val="left" w:pos="7569"/>
        </w:tabs>
        <w:ind w:firstLine="283"/>
        <w:jc w:val="center"/>
        <w:rPr>
          <w:b/>
          <w:color w:val="FF0000"/>
        </w:rPr>
      </w:pPr>
    </w:p>
    <w:p w:rsidR="00B3093C" w:rsidRPr="00B3093C" w:rsidRDefault="00B3093C" w:rsidP="001D6421">
      <w:pPr>
        <w:spacing w:line="360" w:lineRule="auto"/>
        <w:jc w:val="center"/>
        <w:rPr>
          <w:rFonts w:eastAsia="Times New Roman"/>
          <w:b/>
          <w:color w:val="FF0000"/>
          <w:sz w:val="28"/>
          <w:szCs w:val="28"/>
          <w:lang w:val="en-GB"/>
        </w:rPr>
      </w:pPr>
    </w:p>
    <w:p w:rsidR="00C211EA" w:rsidRPr="00A05FC1" w:rsidRDefault="00C211EA" w:rsidP="001D6421">
      <w:pPr>
        <w:spacing w:line="360" w:lineRule="auto"/>
        <w:jc w:val="center"/>
        <w:rPr>
          <w:rFonts w:eastAsia="Times New Roman"/>
          <w:b/>
          <w:color w:val="00B0F0"/>
          <w:sz w:val="28"/>
          <w:szCs w:val="28"/>
          <w:lang w:val="en-GB"/>
        </w:rPr>
      </w:pPr>
    </w:p>
    <w:p w:rsidR="009D535A" w:rsidRPr="00A05FC1" w:rsidRDefault="009D535A" w:rsidP="001D6421">
      <w:pPr>
        <w:spacing w:line="360" w:lineRule="auto"/>
        <w:jc w:val="center"/>
        <w:rPr>
          <w:rFonts w:eastAsia="Times New Roman"/>
          <w:b/>
          <w:color w:val="FF0000"/>
          <w:sz w:val="28"/>
          <w:szCs w:val="28"/>
          <w:lang w:val="en-GB"/>
        </w:rPr>
      </w:pPr>
    </w:p>
    <w:sectPr w:rsidR="009D535A" w:rsidRPr="00A05FC1"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2C" w:rsidRDefault="0035572C">
      <w:r>
        <w:separator/>
      </w:r>
    </w:p>
  </w:endnote>
  <w:endnote w:type="continuationSeparator" w:id="0">
    <w:p w:rsidR="0035572C" w:rsidRDefault="003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84A08" w:rsidRPr="00384A08">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2C" w:rsidRDefault="0035572C">
      <w:r>
        <w:separator/>
      </w:r>
    </w:p>
  </w:footnote>
  <w:footnote w:type="continuationSeparator" w:id="0">
    <w:p w:rsidR="0035572C" w:rsidRDefault="00355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84A08"/>
    <w:rsid w:val="00384AFD"/>
    <w:rsid w:val="0038786B"/>
    <w:rsid w:val="00387D30"/>
    <w:rsid w:val="003A7474"/>
    <w:rsid w:val="003F1D93"/>
    <w:rsid w:val="003F4ECE"/>
    <w:rsid w:val="003F6A76"/>
    <w:rsid w:val="0040468B"/>
    <w:rsid w:val="00410121"/>
    <w:rsid w:val="00410425"/>
    <w:rsid w:val="0043135F"/>
    <w:rsid w:val="0043333D"/>
    <w:rsid w:val="00434812"/>
    <w:rsid w:val="00452345"/>
    <w:rsid w:val="0048718A"/>
    <w:rsid w:val="0049069A"/>
    <w:rsid w:val="004A246E"/>
    <w:rsid w:val="004A3676"/>
    <w:rsid w:val="004C175A"/>
    <w:rsid w:val="004C3169"/>
    <w:rsid w:val="00530A99"/>
    <w:rsid w:val="005427CA"/>
    <w:rsid w:val="005455B6"/>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662C"/>
    <w:rsid w:val="00884A81"/>
    <w:rsid w:val="008A0A2A"/>
    <w:rsid w:val="008B4556"/>
    <w:rsid w:val="008B6F33"/>
    <w:rsid w:val="008C35B7"/>
    <w:rsid w:val="008C4ABA"/>
    <w:rsid w:val="008C6DB9"/>
    <w:rsid w:val="008F29CD"/>
    <w:rsid w:val="008F638E"/>
    <w:rsid w:val="008F741B"/>
    <w:rsid w:val="009059D3"/>
    <w:rsid w:val="00941C4E"/>
    <w:rsid w:val="009677EB"/>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9695D"/>
    <w:rsid w:val="00CC5804"/>
    <w:rsid w:val="00CE5EA8"/>
    <w:rsid w:val="00CF447B"/>
    <w:rsid w:val="00D11DC4"/>
    <w:rsid w:val="00D45CD4"/>
    <w:rsid w:val="00D47D19"/>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35F88"/>
    <w:rsid w:val="00F441C2"/>
    <w:rsid w:val="00F54198"/>
    <w:rsid w:val="00F61FA0"/>
    <w:rsid w:val="00F87C74"/>
    <w:rsid w:val="00FA2555"/>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5151</Characters>
  <Application>Microsoft Office Word</Application>
  <DocSecurity>0</DocSecurity>
  <PresentationFormat/>
  <Lines>42</Lines>
  <Paragraphs>12</Paragraphs>
  <Slides>0</Slides>
  <Notes>0</Notes>
  <HiddenSlides>0</HiddenSlides>
  <MMClips>0</MMClips>
  <ScaleCrop>false</ScaleCrop>
  <Manager/>
  <Company>www.thuvienhoclieu.com</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2020-08-05T04:25:00Z</dcterms:modified>
  <cp:revision>1</cp:revision>
  <dc:title>Trắc Nghiệm Sử 9 Bài 15 Có Đáp Án File Word</dc:title>
</cp:coreProperties>
</file>