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421" w:rsidRPr="00A05FC1" w:rsidRDefault="001D6421" w:rsidP="001D6421">
      <w:pPr>
        <w:spacing w:line="360" w:lineRule="auto"/>
        <w:jc w:val="center"/>
        <w:rPr>
          <w:rFonts w:eastAsia="Times New Roman"/>
          <w:b/>
          <w:color w:val="00B0F0"/>
          <w:sz w:val="28"/>
          <w:szCs w:val="28"/>
          <w:lang w:val="en-GB"/>
        </w:rPr>
      </w:pPr>
      <w:r w:rsidRPr="00A05FC1">
        <w:rPr>
          <w:rFonts w:eastAsia="Times New Roman"/>
          <w:b/>
          <w:color w:val="00B0F0"/>
          <w:sz w:val="28"/>
          <w:szCs w:val="28"/>
        </w:rPr>
        <w:t xml:space="preserve">BÀI TẬP TRẮC NGHIỆM LỊCH SỬ LỚP 9 BÀI </w:t>
      </w:r>
      <w:r w:rsidR="00F441C2" w:rsidRPr="00A05FC1">
        <w:rPr>
          <w:rFonts w:eastAsia="Times New Roman"/>
          <w:b/>
          <w:color w:val="00B0F0"/>
          <w:sz w:val="28"/>
          <w:szCs w:val="28"/>
        </w:rPr>
        <w:t>1</w:t>
      </w:r>
      <w:r w:rsidR="00812653">
        <w:rPr>
          <w:rFonts w:eastAsia="Times New Roman"/>
          <w:b/>
          <w:color w:val="00B0F0"/>
          <w:sz w:val="28"/>
          <w:szCs w:val="28"/>
        </w:rPr>
        <w:t>4</w:t>
      </w:r>
      <w:r w:rsidRPr="00A05FC1">
        <w:rPr>
          <w:rFonts w:eastAsia="Times New Roman"/>
          <w:b/>
          <w:color w:val="00B0F0"/>
          <w:sz w:val="28"/>
          <w:szCs w:val="28"/>
          <w:lang w:val="en-GB"/>
        </w:rPr>
        <w:t>:</w:t>
      </w:r>
    </w:p>
    <w:p w:rsidR="00682C2D" w:rsidRDefault="00812653" w:rsidP="001D6421">
      <w:pPr>
        <w:spacing w:line="360" w:lineRule="auto"/>
        <w:jc w:val="center"/>
        <w:rPr>
          <w:rFonts w:eastAsia="Times New Roman"/>
          <w:b/>
          <w:color w:val="FF0000"/>
          <w:sz w:val="28"/>
          <w:szCs w:val="28"/>
          <w:lang w:val="en-GB"/>
        </w:rPr>
      </w:pPr>
      <w:r w:rsidRPr="00812653">
        <w:rPr>
          <w:rFonts w:eastAsia="Times New Roman"/>
          <w:b/>
          <w:color w:val="FF0000"/>
          <w:sz w:val="28"/>
          <w:szCs w:val="28"/>
          <w:lang w:val="en-GB"/>
        </w:rPr>
        <w:t>VIỆT NAM SAU CHIẾN TRANH THẾ GIỚI THỨ NHẤT</w:t>
      </w:r>
    </w:p>
    <w:p w:rsidR="009D535A" w:rsidRDefault="009D535A" w:rsidP="009D535A">
      <w:pPr>
        <w:spacing w:before="60"/>
        <w:jc w:val="both"/>
      </w:pPr>
      <w:r w:rsidRPr="00F551DA">
        <w:rPr>
          <w:b/>
          <w:color w:val="0000FF"/>
        </w:rPr>
        <w:t>Câu 1:</w:t>
      </w:r>
      <w:r>
        <w:t xml:space="preserve"> Tư bản Pháp đầu tư vốn nhiều nhất vào lĩnh vực nào?</w:t>
      </w:r>
    </w:p>
    <w:p w:rsidR="009D535A" w:rsidRDefault="009D535A" w:rsidP="009D535A">
      <w:pPr>
        <w:tabs>
          <w:tab w:val="left" w:pos="2708"/>
          <w:tab w:val="left" w:pos="5138"/>
          <w:tab w:val="left" w:pos="7569"/>
        </w:tabs>
        <w:ind w:firstLine="283"/>
      </w:pPr>
      <w:r w:rsidRPr="00F551DA">
        <w:rPr>
          <w:b/>
          <w:color w:val="3366FF"/>
        </w:rPr>
        <w:t xml:space="preserve">A. </w:t>
      </w:r>
      <w:r>
        <w:t>Nông nghiệp.</w:t>
      </w:r>
      <w:r>
        <w:tab/>
      </w:r>
      <w:r w:rsidRPr="00F551DA">
        <w:rPr>
          <w:b/>
          <w:color w:val="3366FF"/>
        </w:rPr>
        <w:t xml:space="preserve">B. </w:t>
      </w:r>
      <w:r>
        <w:t>Công nghiệp.</w:t>
      </w:r>
      <w:r>
        <w:tab/>
      </w:r>
      <w:r w:rsidRPr="00F551DA">
        <w:rPr>
          <w:b/>
          <w:color w:val="3366FF"/>
        </w:rPr>
        <w:t xml:space="preserve">C. </w:t>
      </w:r>
      <w:r>
        <w:t>Khai mỏ</w:t>
      </w:r>
      <w:r>
        <w:tab/>
      </w:r>
      <w:r w:rsidRPr="00F551DA">
        <w:rPr>
          <w:b/>
          <w:color w:val="3366FF"/>
        </w:rPr>
        <w:t xml:space="preserve">D. </w:t>
      </w:r>
      <w:r>
        <w:t>Giao thông vận tải.</w:t>
      </w:r>
    </w:p>
    <w:p w:rsidR="009D535A" w:rsidRDefault="009D535A" w:rsidP="009D535A">
      <w:pPr>
        <w:spacing w:before="60"/>
        <w:jc w:val="both"/>
      </w:pPr>
      <w:r w:rsidRPr="00F551DA">
        <w:rPr>
          <w:b/>
          <w:color w:val="0000FF"/>
        </w:rPr>
        <w:t>Câu 2:</w:t>
      </w:r>
      <w:r>
        <w:t xml:space="preserve"> Số vốn mà Pháp đầu tư vào nông nghiệp lên tới 400 triệu phơrăng, gấp 10 lần trước chiến tranh được thực hiện vào năm nào?</w:t>
      </w:r>
    </w:p>
    <w:p w:rsidR="009D535A" w:rsidRDefault="009D535A" w:rsidP="009D535A">
      <w:pPr>
        <w:tabs>
          <w:tab w:val="left" w:pos="2708"/>
          <w:tab w:val="left" w:pos="5138"/>
          <w:tab w:val="left" w:pos="7569"/>
        </w:tabs>
        <w:ind w:firstLine="283"/>
      </w:pPr>
      <w:r w:rsidRPr="00F551DA">
        <w:rPr>
          <w:b/>
          <w:color w:val="3366FF"/>
        </w:rPr>
        <w:t xml:space="preserve">A. </w:t>
      </w:r>
      <w:r>
        <w:t>1926</w:t>
      </w:r>
      <w:r>
        <w:tab/>
      </w:r>
      <w:r w:rsidRPr="00F551DA">
        <w:rPr>
          <w:b/>
          <w:color w:val="3366FF"/>
        </w:rPr>
        <w:t xml:space="preserve">B. </w:t>
      </w:r>
      <w:r>
        <w:t>1928</w:t>
      </w:r>
      <w:r>
        <w:tab/>
      </w:r>
      <w:r w:rsidRPr="00F551DA">
        <w:rPr>
          <w:b/>
          <w:color w:val="3366FF"/>
        </w:rPr>
        <w:t xml:space="preserve">C. </w:t>
      </w:r>
      <w:r>
        <w:t>1929</w:t>
      </w:r>
      <w:r>
        <w:tab/>
      </w:r>
      <w:r w:rsidRPr="00F551DA">
        <w:rPr>
          <w:b/>
          <w:color w:val="3366FF"/>
        </w:rPr>
        <w:t xml:space="preserve">D. </w:t>
      </w:r>
      <w:r>
        <w:t>1927</w:t>
      </w:r>
    </w:p>
    <w:p w:rsidR="009D535A" w:rsidRDefault="009D535A" w:rsidP="009D535A">
      <w:pPr>
        <w:spacing w:before="60"/>
        <w:jc w:val="both"/>
      </w:pPr>
      <w:r w:rsidRPr="00F551DA">
        <w:rPr>
          <w:b/>
          <w:color w:val="0000FF"/>
        </w:rPr>
        <w:t>Câu 3:</w:t>
      </w:r>
      <w:r>
        <w:t xml:space="preserve"> Tại sao tư bản Pháp tập trung vốn vào việc lập đồn điền cao su và khai thác than?</w:t>
      </w:r>
    </w:p>
    <w:p w:rsidR="009D535A" w:rsidRDefault="009D535A" w:rsidP="009D535A">
      <w:pPr>
        <w:ind w:firstLine="283"/>
      </w:pPr>
      <w:r w:rsidRPr="00F551DA">
        <w:rPr>
          <w:b/>
          <w:color w:val="3366FF"/>
        </w:rPr>
        <w:t xml:space="preserve">A. </w:t>
      </w:r>
      <w:r>
        <w:t>Cao su và than có giá trị cao.</w:t>
      </w:r>
    </w:p>
    <w:p w:rsidR="009D535A" w:rsidRDefault="009D535A" w:rsidP="009D535A">
      <w:pPr>
        <w:ind w:firstLine="283"/>
      </w:pPr>
      <w:r w:rsidRPr="00F551DA">
        <w:rPr>
          <w:b/>
          <w:color w:val="3366FF"/>
        </w:rPr>
        <w:t xml:space="preserve">B. </w:t>
      </w:r>
      <w:r>
        <w:t>Việt Nam nhiều cao su và than.</w:t>
      </w:r>
    </w:p>
    <w:p w:rsidR="009D535A" w:rsidRDefault="009D535A" w:rsidP="009D535A">
      <w:pPr>
        <w:ind w:firstLine="283"/>
      </w:pPr>
      <w:r w:rsidRPr="00F551DA">
        <w:rPr>
          <w:b/>
          <w:color w:val="3366FF"/>
        </w:rPr>
        <w:t xml:space="preserve">C. </w:t>
      </w:r>
      <w:r>
        <w:t>Cao su và than là hai mặt hàng thị trường Pháp và thế giới có nhu cầu lớn.</w:t>
      </w:r>
    </w:p>
    <w:p w:rsidR="009D535A" w:rsidRDefault="009D535A" w:rsidP="009D535A">
      <w:pPr>
        <w:ind w:firstLine="283"/>
      </w:pPr>
      <w:r w:rsidRPr="00F551DA">
        <w:rPr>
          <w:b/>
          <w:color w:val="3366FF"/>
        </w:rPr>
        <w:t xml:space="preserve">D. </w:t>
      </w:r>
      <w:r>
        <w:t>Cao su và than dễ khai thác.</w:t>
      </w:r>
    </w:p>
    <w:p w:rsidR="009D535A" w:rsidRDefault="009D535A" w:rsidP="009D535A">
      <w:pPr>
        <w:spacing w:before="60"/>
        <w:jc w:val="both"/>
      </w:pPr>
      <w:r w:rsidRPr="00F551DA">
        <w:rPr>
          <w:b/>
          <w:color w:val="0000FF"/>
        </w:rPr>
        <w:t>Câu 4:</w:t>
      </w:r>
      <w:r>
        <w:t xml:space="preserve"> Thủ đoạn thâm độc nhất về chính trị của thực dân Pháp để nô dịch lâu dài nhân dân ta là gì?</w:t>
      </w:r>
    </w:p>
    <w:p w:rsidR="009D535A" w:rsidRDefault="009D535A" w:rsidP="009D535A">
      <w:pPr>
        <w:ind w:firstLine="283"/>
      </w:pPr>
      <w:r w:rsidRPr="00F551DA">
        <w:rPr>
          <w:b/>
          <w:color w:val="3366FF"/>
        </w:rPr>
        <w:t xml:space="preserve">A. </w:t>
      </w:r>
      <w:r>
        <w:t>Thâu tóm quyền hành trong tay người Pháp.</w:t>
      </w:r>
    </w:p>
    <w:p w:rsidR="009D535A" w:rsidRDefault="009D535A" w:rsidP="009D535A">
      <w:pPr>
        <w:ind w:firstLine="283"/>
      </w:pPr>
      <w:r w:rsidRPr="00F551DA">
        <w:rPr>
          <w:b/>
          <w:color w:val="3366FF"/>
        </w:rPr>
        <w:t xml:space="preserve">B. </w:t>
      </w:r>
      <w:r>
        <w:t>Thực hiện chính sách “chia để trị”</w:t>
      </w:r>
    </w:p>
    <w:p w:rsidR="009D535A" w:rsidRDefault="009D535A" w:rsidP="009D535A">
      <w:pPr>
        <w:ind w:firstLine="283"/>
      </w:pPr>
      <w:r w:rsidRPr="00F551DA">
        <w:rPr>
          <w:b/>
          <w:color w:val="3366FF"/>
        </w:rPr>
        <w:t xml:space="preserve">C. </w:t>
      </w:r>
      <w:r>
        <w:t>Cấu kết với vua quan Nam triều để đàn áp nhân dân.</w:t>
      </w:r>
    </w:p>
    <w:p w:rsidR="009D535A" w:rsidRDefault="009D535A" w:rsidP="009D535A">
      <w:pPr>
        <w:ind w:firstLine="283"/>
      </w:pPr>
      <w:r w:rsidRPr="00F551DA">
        <w:rPr>
          <w:b/>
          <w:color w:val="3366FF"/>
        </w:rPr>
        <w:t xml:space="preserve">D. </w:t>
      </w:r>
      <w:r>
        <w:t>Tăng cường khủng bố, đàn áp nhân dân.</w:t>
      </w:r>
    </w:p>
    <w:p w:rsidR="009D535A" w:rsidRDefault="009D535A" w:rsidP="009D535A">
      <w:pPr>
        <w:spacing w:before="60"/>
        <w:jc w:val="both"/>
      </w:pPr>
      <w:r w:rsidRPr="00F551DA">
        <w:rPr>
          <w:b/>
          <w:color w:val="0000FF"/>
        </w:rPr>
        <w:t>Câu 5:</w:t>
      </w:r>
      <w:r>
        <w:t xml:space="preserve"> Trong chính sách thương nghiệp, vì sao thực dân Pháp đánh thuế nặng các hàng hóa nước ngoài vào Việt Nam?</w:t>
      </w:r>
    </w:p>
    <w:p w:rsidR="009D535A" w:rsidRDefault="009D535A" w:rsidP="009D535A">
      <w:pPr>
        <w:ind w:firstLine="283"/>
      </w:pPr>
      <w:r w:rsidRPr="00F551DA">
        <w:rPr>
          <w:b/>
          <w:color w:val="3366FF"/>
        </w:rPr>
        <w:t xml:space="preserve">A. </w:t>
      </w:r>
      <w:r>
        <w:t>Muốn độc chiếm thị trường Việt Nam và Đông Dương.</w:t>
      </w:r>
    </w:p>
    <w:p w:rsidR="009D535A" w:rsidRDefault="009D535A" w:rsidP="009D535A">
      <w:pPr>
        <w:ind w:firstLine="283"/>
      </w:pPr>
      <w:r w:rsidRPr="00F551DA">
        <w:rPr>
          <w:b/>
          <w:color w:val="3366FF"/>
        </w:rPr>
        <w:t xml:space="preserve">B. </w:t>
      </w:r>
      <w:r>
        <w:t>Tạo sự cạnh tranh giữa hàng hóa các nước nhập vào Đông Dương.</w:t>
      </w:r>
    </w:p>
    <w:p w:rsidR="009D535A" w:rsidRDefault="009D535A" w:rsidP="009D535A">
      <w:pPr>
        <w:ind w:firstLine="283"/>
      </w:pPr>
      <w:r w:rsidRPr="00F551DA">
        <w:rPr>
          <w:b/>
          <w:color w:val="3366FF"/>
        </w:rPr>
        <w:t xml:space="preserve">C. </w:t>
      </w:r>
      <w:r>
        <w:t>Tạo điều kiện cho thương nghiệp Đông Dương phát triển.</w:t>
      </w:r>
    </w:p>
    <w:p w:rsidR="009D535A" w:rsidRDefault="009D535A" w:rsidP="009D535A">
      <w:pPr>
        <w:ind w:firstLine="283"/>
      </w:pPr>
      <w:r w:rsidRPr="00F551DA">
        <w:rPr>
          <w:b/>
          <w:color w:val="3366FF"/>
        </w:rPr>
        <w:t xml:space="preserve">D. </w:t>
      </w:r>
      <w:r>
        <w:t>Không cho hàng hóa nước ngoài vào Việt Nam.</w:t>
      </w:r>
    </w:p>
    <w:p w:rsidR="009D535A" w:rsidRDefault="009D535A" w:rsidP="009D535A">
      <w:pPr>
        <w:spacing w:before="60"/>
        <w:jc w:val="both"/>
      </w:pPr>
      <w:r w:rsidRPr="00F551DA">
        <w:rPr>
          <w:b/>
          <w:color w:val="0000FF"/>
        </w:rPr>
        <w:t>Câu 6:</w:t>
      </w:r>
      <w:r>
        <w:t xml:space="preserve"> Thái độ chính trị của giai cấp đại địa chủ phong kiến đối với thực dân Pháp như thế nào?</w:t>
      </w:r>
    </w:p>
    <w:p w:rsidR="009D535A" w:rsidRDefault="009D535A" w:rsidP="009D535A">
      <w:pPr>
        <w:ind w:firstLine="283"/>
      </w:pPr>
      <w:r w:rsidRPr="00F551DA">
        <w:rPr>
          <w:b/>
          <w:color w:val="3366FF"/>
        </w:rPr>
        <w:t xml:space="preserve">A. </w:t>
      </w:r>
      <w:r>
        <w:t>Sẵn sàng phối hợp với tư sản dân tộc để chống Pháp khi bị chèn ép.</w:t>
      </w:r>
    </w:p>
    <w:p w:rsidR="009D535A" w:rsidRDefault="009D535A" w:rsidP="009D535A">
      <w:pPr>
        <w:ind w:firstLine="283"/>
      </w:pPr>
      <w:r w:rsidRPr="00F551DA">
        <w:rPr>
          <w:b/>
          <w:color w:val="3366FF"/>
        </w:rPr>
        <w:t xml:space="preserve">B. </w:t>
      </w:r>
      <w:r>
        <w:t>Sẵn sàng thỏa hiệp với Pháp để chống tư sản dân tộc.</w:t>
      </w:r>
    </w:p>
    <w:p w:rsidR="009D535A" w:rsidRDefault="009D535A" w:rsidP="009D535A">
      <w:pPr>
        <w:ind w:firstLine="283"/>
      </w:pPr>
      <w:r w:rsidRPr="00F551DA">
        <w:rPr>
          <w:b/>
          <w:color w:val="3366FF"/>
        </w:rPr>
        <w:t xml:space="preserve">C. </w:t>
      </w:r>
      <w:r>
        <w:t>Sẵn sàng thỏa hiệp với Pháp để hưởng quyền lợi.</w:t>
      </w:r>
    </w:p>
    <w:p w:rsidR="009D535A" w:rsidRDefault="009D535A" w:rsidP="009D535A">
      <w:pPr>
        <w:ind w:firstLine="283"/>
      </w:pPr>
      <w:r w:rsidRPr="00F551DA">
        <w:rPr>
          <w:b/>
          <w:color w:val="3366FF"/>
        </w:rPr>
        <w:t xml:space="preserve">D. </w:t>
      </w:r>
      <w:r>
        <w:t>Sẵn sàng đứng lên chống thực dân Pháp khi bị cắt xén quyền lợi về kinh tế.</w:t>
      </w:r>
    </w:p>
    <w:p w:rsidR="009D535A" w:rsidRDefault="009D535A" w:rsidP="009D535A">
      <w:pPr>
        <w:spacing w:before="60"/>
        <w:jc w:val="both"/>
      </w:pPr>
      <w:r w:rsidRPr="00F551DA">
        <w:rPr>
          <w:b/>
          <w:color w:val="0000FF"/>
        </w:rPr>
        <w:t>Câu 7:</w:t>
      </w:r>
      <w:r>
        <w:t xml:space="preserve"> Chương trình khai thác thuộc địa lần thứ hai của thực dân Pháp tác động như thế nào đến nền kinh tế Việt Nam?</w:t>
      </w:r>
    </w:p>
    <w:p w:rsidR="009D535A" w:rsidRDefault="009D535A" w:rsidP="009D535A">
      <w:pPr>
        <w:ind w:firstLine="283"/>
      </w:pPr>
      <w:r w:rsidRPr="00F551DA">
        <w:rPr>
          <w:b/>
          <w:color w:val="3366FF"/>
        </w:rPr>
        <w:t xml:space="preserve">A. </w:t>
      </w:r>
      <w:r>
        <w:t>Nền kinh tế Việt Nam lệ thuộc hoàn toàn vào nền kinh tế Pháp.</w:t>
      </w:r>
    </w:p>
    <w:p w:rsidR="009D535A" w:rsidRDefault="009D535A" w:rsidP="009D535A">
      <w:pPr>
        <w:ind w:firstLine="283"/>
      </w:pPr>
      <w:r w:rsidRPr="00F551DA">
        <w:rPr>
          <w:b/>
          <w:color w:val="3366FF"/>
        </w:rPr>
        <w:t xml:space="preserve">B. </w:t>
      </w:r>
      <w:r>
        <w:t>Nền kinh tế Việt Nam Phát triển độc lập.</w:t>
      </w:r>
    </w:p>
    <w:p w:rsidR="009D535A" w:rsidRDefault="009D535A" w:rsidP="009D535A">
      <w:pPr>
        <w:ind w:firstLine="283"/>
      </w:pPr>
      <w:r w:rsidRPr="00F551DA">
        <w:rPr>
          <w:b/>
          <w:color w:val="3366FF"/>
        </w:rPr>
        <w:t xml:space="preserve">C. </w:t>
      </w:r>
      <w:r>
        <w:t>Nền kinh tế Việt Nam vẫn lạc hậu, không phát triển.</w:t>
      </w:r>
    </w:p>
    <w:p w:rsidR="009D535A" w:rsidRDefault="009D535A" w:rsidP="009D535A">
      <w:pPr>
        <w:ind w:firstLine="283"/>
      </w:pPr>
      <w:r w:rsidRPr="00F551DA">
        <w:rPr>
          <w:b/>
          <w:color w:val="3366FF"/>
        </w:rPr>
        <w:t xml:space="preserve">D. </w:t>
      </w:r>
      <w:r>
        <w:t>Nền kinh tế Việt Nam phát triển thêm một bước nhưng bị kìm hãm, lệ thuộc vào nền kinh tế Pháp.</w:t>
      </w:r>
    </w:p>
    <w:p w:rsidR="009D535A" w:rsidRDefault="009D535A" w:rsidP="009D535A">
      <w:pPr>
        <w:spacing w:before="60"/>
        <w:jc w:val="both"/>
      </w:pPr>
      <w:r w:rsidRPr="00F551DA">
        <w:rPr>
          <w:b/>
          <w:color w:val="0000FF"/>
        </w:rPr>
        <w:t>Câu 8:</w:t>
      </w:r>
      <w:r>
        <w:t xml:space="preserve"> Vì sao tư bản Pháp tăng cường đầu tư phát triển giao thông vận tải?</w:t>
      </w:r>
    </w:p>
    <w:p w:rsidR="009D535A" w:rsidRDefault="009D535A" w:rsidP="009D535A">
      <w:pPr>
        <w:ind w:firstLine="283"/>
      </w:pPr>
      <w:r w:rsidRPr="00F551DA">
        <w:rPr>
          <w:b/>
          <w:color w:val="3366FF"/>
        </w:rPr>
        <w:t xml:space="preserve">A. </w:t>
      </w:r>
      <w:r>
        <w:t>Để phục vụ nhu cầu đi lại của người dân Việt Nam.</w:t>
      </w:r>
    </w:p>
    <w:p w:rsidR="009D535A" w:rsidRDefault="009D535A" w:rsidP="009D535A">
      <w:pPr>
        <w:ind w:firstLine="283"/>
      </w:pPr>
      <w:r w:rsidRPr="00F551DA">
        <w:rPr>
          <w:b/>
          <w:color w:val="3366FF"/>
        </w:rPr>
        <w:t xml:space="preserve">B. </w:t>
      </w:r>
      <w:r>
        <w:t>Để đáp ứng việc chuyên chở hàng hóa.</w:t>
      </w:r>
    </w:p>
    <w:p w:rsidR="009D535A" w:rsidRDefault="009D535A" w:rsidP="009D535A">
      <w:pPr>
        <w:ind w:firstLine="283"/>
      </w:pPr>
      <w:r w:rsidRPr="00F551DA">
        <w:rPr>
          <w:b/>
          <w:color w:val="3366FF"/>
        </w:rPr>
        <w:t xml:space="preserve">C. </w:t>
      </w:r>
      <w:r>
        <w:t>Để phục vụ nhu cầu đi lại của tư bản Pháp.</w:t>
      </w:r>
    </w:p>
    <w:p w:rsidR="009D535A" w:rsidRDefault="009D535A" w:rsidP="009D535A">
      <w:pPr>
        <w:ind w:firstLine="283"/>
      </w:pPr>
      <w:r w:rsidRPr="00F551DA">
        <w:rPr>
          <w:b/>
          <w:color w:val="3366FF"/>
        </w:rPr>
        <w:t xml:space="preserve">D. </w:t>
      </w:r>
      <w:r>
        <w:t>Phát triển ngành dịch vụ vận tải.</w:t>
      </w:r>
    </w:p>
    <w:p w:rsidR="009D535A" w:rsidRDefault="009D535A" w:rsidP="009D535A">
      <w:pPr>
        <w:spacing w:before="60"/>
        <w:jc w:val="both"/>
      </w:pPr>
      <w:r w:rsidRPr="00F551DA">
        <w:rPr>
          <w:b/>
          <w:color w:val="0000FF"/>
        </w:rPr>
        <w:t>Câu 9:</w:t>
      </w:r>
      <w:r>
        <w:t xml:space="preserve"> Giai cấp nào trở thành tay sai, làm chỗ dựa cho thực dân Pháp tăng cường chiếm đoạt, bóc lột kinh tế, đàn áp chính trị đối với người nông dân?</w:t>
      </w:r>
    </w:p>
    <w:p w:rsidR="009D535A" w:rsidRDefault="009D535A" w:rsidP="009D535A">
      <w:pPr>
        <w:tabs>
          <w:tab w:val="left" w:pos="5136"/>
        </w:tabs>
        <w:ind w:firstLine="283"/>
      </w:pPr>
      <w:r w:rsidRPr="00F551DA">
        <w:rPr>
          <w:b/>
          <w:color w:val="3366FF"/>
        </w:rPr>
        <w:t xml:space="preserve">A. </w:t>
      </w:r>
      <w:r>
        <w:t>Giai cấp địa chủ phong kiến.</w:t>
      </w:r>
      <w:r>
        <w:tab/>
      </w:r>
      <w:r w:rsidRPr="00F551DA">
        <w:rPr>
          <w:b/>
          <w:color w:val="3366FF"/>
        </w:rPr>
        <w:t xml:space="preserve">B. </w:t>
      </w:r>
      <w:r>
        <w:t>Tầng lớp đại địa chủ.</w:t>
      </w:r>
    </w:p>
    <w:p w:rsidR="009D535A" w:rsidRDefault="009D535A" w:rsidP="009D535A">
      <w:pPr>
        <w:tabs>
          <w:tab w:val="left" w:pos="5136"/>
        </w:tabs>
        <w:ind w:firstLine="283"/>
      </w:pPr>
      <w:r w:rsidRPr="00F551DA">
        <w:rPr>
          <w:b/>
          <w:color w:val="3366FF"/>
        </w:rPr>
        <w:t xml:space="preserve">C. </w:t>
      </w:r>
      <w:r>
        <w:t>Tầng lớp tư sản mại bản</w:t>
      </w:r>
      <w:r>
        <w:tab/>
      </w:r>
      <w:r w:rsidRPr="00F551DA">
        <w:rPr>
          <w:b/>
          <w:color w:val="3366FF"/>
        </w:rPr>
        <w:t xml:space="preserve">D. </w:t>
      </w:r>
      <w:r>
        <w:t>Giai cấp tư sản dân tộc.</w:t>
      </w:r>
    </w:p>
    <w:p w:rsidR="009D535A" w:rsidRDefault="009D535A" w:rsidP="009D535A">
      <w:pPr>
        <w:spacing w:before="60"/>
        <w:jc w:val="both"/>
      </w:pPr>
      <w:r w:rsidRPr="00F551DA">
        <w:rPr>
          <w:b/>
          <w:color w:val="0000FF"/>
        </w:rPr>
        <w:t>Câu 10:</w:t>
      </w:r>
      <w:r>
        <w:t xml:space="preserve"> Điểm mới trong chương trình khai thác thuộc địa lần thứ 2 của Pháp là gì?</w:t>
      </w:r>
    </w:p>
    <w:p w:rsidR="009D535A" w:rsidRDefault="009D535A" w:rsidP="009D535A">
      <w:pPr>
        <w:tabs>
          <w:tab w:val="left" w:pos="5136"/>
        </w:tabs>
        <w:ind w:firstLine="283"/>
      </w:pPr>
      <w:r w:rsidRPr="00F551DA">
        <w:rPr>
          <w:b/>
          <w:color w:val="3366FF"/>
        </w:rPr>
        <w:t xml:space="preserve">A. </w:t>
      </w:r>
      <w:r>
        <w:t>Vừa khai thác vừa chế biến.</w:t>
      </w:r>
      <w:r>
        <w:tab/>
      </w:r>
      <w:r w:rsidRPr="00F551DA">
        <w:rPr>
          <w:b/>
          <w:color w:val="3366FF"/>
        </w:rPr>
        <w:t xml:space="preserve">B. </w:t>
      </w:r>
      <w:r>
        <w:t>Đầu tư phát triển công nghiệp nhẹ.</w:t>
      </w:r>
    </w:p>
    <w:p w:rsidR="009D535A" w:rsidRDefault="009D535A" w:rsidP="009D535A">
      <w:pPr>
        <w:tabs>
          <w:tab w:val="left" w:pos="5136"/>
        </w:tabs>
        <w:ind w:firstLine="283"/>
      </w:pPr>
      <w:r w:rsidRPr="00F551DA">
        <w:rPr>
          <w:b/>
          <w:color w:val="3366FF"/>
        </w:rPr>
        <w:t xml:space="preserve">C. </w:t>
      </w:r>
      <w:r>
        <w:t>Tăng cường đầu tư thu lãi cao</w:t>
      </w:r>
      <w:r>
        <w:tab/>
      </w:r>
      <w:r w:rsidRPr="00F551DA">
        <w:rPr>
          <w:b/>
          <w:color w:val="3366FF"/>
        </w:rPr>
        <w:t xml:space="preserve">D. </w:t>
      </w:r>
      <w:r>
        <w:t>Đầu tư phát triển công nghiệp nặng.</w:t>
      </w:r>
    </w:p>
    <w:p w:rsidR="009D535A" w:rsidRDefault="009D535A" w:rsidP="009D535A">
      <w:pPr>
        <w:spacing w:before="60"/>
        <w:jc w:val="both"/>
      </w:pPr>
      <w:r w:rsidRPr="00F551DA">
        <w:rPr>
          <w:b/>
          <w:color w:val="0000FF"/>
        </w:rPr>
        <w:t>Câu 11:</w:t>
      </w:r>
      <w:r>
        <w:t xml:space="preserve"> Sau Chiến tranh thế giới thứ nhất xã hội Việt Nam tồn tại nhiều mâu thuẫn, trong đó mâu thuẫn </w:t>
      </w:r>
      <w:r>
        <w:lastRenderedPageBreak/>
        <w:t>nào là cơ bản nhất?</w:t>
      </w:r>
    </w:p>
    <w:p w:rsidR="009D535A" w:rsidRDefault="009D535A" w:rsidP="009D535A">
      <w:pPr>
        <w:ind w:firstLine="283"/>
      </w:pPr>
      <w:r w:rsidRPr="00F551DA">
        <w:rPr>
          <w:b/>
          <w:color w:val="3366FF"/>
        </w:rPr>
        <w:t xml:space="preserve">A. </w:t>
      </w:r>
      <w:r>
        <w:t>Mâu thuẫn giữa tư sản và địa chủ.</w:t>
      </w:r>
    </w:p>
    <w:p w:rsidR="009D535A" w:rsidRDefault="009D535A" w:rsidP="009D535A">
      <w:pPr>
        <w:ind w:firstLine="283"/>
      </w:pPr>
      <w:r w:rsidRPr="00F551DA">
        <w:rPr>
          <w:b/>
          <w:color w:val="3366FF"/>
        </w:rPr>
        <w:t xml:space="preserve">B. </w:t>
      </w:r>
      <w:r>
        <w:t>Mâu thuẫn giữa công nhân và tư bản</w:t>
      </w:r>
    </w:p>
    <w:p w:rsidR="009D535A" w:rsidRDefault="009D535A" w:rsidP="009D535A">
      <w:pPr>
        <w:ind w:firstLine="283"/>
      </w:pPr>
      <w:r w:rsidRPr="00F551DA">
        <w:rPr>
          <w:b/>
          <w:color w:val="3366FF"/>
        </w:rPr>
        <w:t xml:space="preserve">C. </w:t>
      </w:r>
      <w:r>
        <w:t>Mâu thuẫn giữa nhân dân Việt Nam và chủ nghĩa thực dân Pháp</w:t>
      </w:r>
    </w:p>
    <w:p w:rsidR="009D535A" w:rsidRDefault="009D535A" w:rsidP="009D535A">
      <w:pPr>
        <w:ind w:firstLine="283"/>
      </w:pPr>
      <w:r w:rsidRPr="00F551DA">
        <w:rPr>
          <w:b/>
          <w:color w:val="3366FF"/>
        </w:rPr>
        <w:t xml:space="preserve">D. </w:t>
      </w:r>
      <w:r>
        <w:t>Mâu thuẫn giữa nông dân và địa chủ.</w:t>
      </w:r>
    </w:p>
    <w:p w:rsidR="009D535A" w:rsidRDefault="009D535A" w:rsidP="009D535A">
      <w:pPr>
        <w:spacing w:before="60"/>
        <w:jc w:val="both"/>
      </w:pPr>
      <w:r w:rsidRPr="00F551DA">
        <w:rPr>
          <w:b/>
          <w:color w:val="0000FF"/>
        </w:rPr>
        <w:t>Câu 12:</w:t>
      </w:r>
      <w:r>
        <w:t xml:space="preserve"> Vì sao giai cấp tư sản dân tộc không đủ khả năng nắm lấy sứ mệnh lãnh đạo cách mạng Việt Nam?</w:t>
      </w:r>
    </w:p>
    <w:p w:rsidR="009D535A" w:rsidRDefault="009D535A" w:rsidP="009D535A">
      <w:pPr>
        <w:tabs>
          <w:tab w:val="left" w:pos="5136"/>
        </w:tabs>
        <w:ind w:firstLine="283"/>
      </w:pPr>
      <w:r w:rsidRPr="00F551DA">
        <w:rPr>
          <w:b/>
          <w:color w:val="3366FF"/>
        </w:rPr>
        <w:t xml:space="preserve">A. </w:t>
      </w:r>
      <w:r>
        <w:t>A, B, C đúng</w:t>
      </w:r>
      <w:r>
        <w:tab/>
      </w:r>
      <w:r w:rsidRPr="00F551DA">
        <w:rPr>
          <w:b/>
          <w:color w:val="3366FF"/>
        </w:rPr>
        <w:t xml:space="preserve">B. </w:t>
      </w:r>
      <w:r>
        <w:t>Thái độ không kiên định dễ thỏa hiệp</w:t>
      </w:r>
    </w:p>
    <w:p w:rsidR="009D535A" w:rsidRDefault="009D535A" w:rsidP="009D535A">
      <w:pPr>
        <w:tabs>
          <w:tab w:val="left" w:pos="5136"/>
        </w:tabs>
        <w:ind w:firstLine="283"/>
      </w:pPr>
      <w:r w:rsidRPr="00F551DA">
        <w:rPr>
          <w:b/>
          <w:color w:val="3366FF"/>
        </w:rPr>
        <w:t xml:space="preserve">C. </w:t>
      </w:r>
      <w:r>
        <w:t>Số lượng ít, thế lực kinh tế yếu.</w:t>
      </w:r>
      <w:r>
        <w:tab/>
      </w:r>
      <w:r w:rsidRPr="00F551DA">
        <w:rPr>
          <w:b/>
          <w:color w:val="3366FF"/>
        </w:rPr>
        <w:t xml:space="preserve">D. </w:t>
      </w:r>
      <w:r>
        <w:t>Bị tầng lớp tư sản mại bản chèn ép.</w:t>
      </w:r>
    </w:p>
    <w:p w:rsidR="009D535A" w:rsidRDefault="009D535A" w:rsidP="009D535A">
      <w:pPr>
        <w:spacing w:before="60"/>
        <w:jc w:val="both"/>
      </w:pPr>
      <w:r w:rsidRPr="00F551DA">
        <w:rPr>
          <w:b/>
          <w:color w:val="0000FF"/>
        </w:rPr>
        <w:t>Câu 13:</w:t>
      </w:r>
      <w:r>
        <w:t xml:space="preserve"> Lực lượng hăng hái và đông đảo nhất của cách mạng Việt Nam là giai cấp nào?</w:t>
      </w:r>
    </w:p>
    <w:p w:rsidR="009D535A" w:rsidRDefault="009D535A" w:rsidP="009D535A">
      <w:pPr>
        <w:tabs>
          <w:tab w:val="left" w:pos="2708"/>
          <w:tab w:val="left" w:pos="5138"/>
          <w:tab w:val="left" w:pos="7569"/>
        </w:tabs>
        <w:ind w:firstLine="283"/>
      </w:pPr>
      <w:r w:rsidRPr="00F551DA">
        <w:rPr>
          <w:b/>
          <w:color w:val="3366FF"/>
        </w:rPr>
        <w:t xml:space="preserve">A. </w:t>
      </w:r>
      <w:r>
        <w:t>Giai cấp tiểu tư sản.</w:t>
      </w:r>
      <w:r>
        <w:tab/>
      </w:r>
      <w:r w:rsidRPr="00F551DA">
        <w:rPr>
          <w:b/>
          <w:color w:val="3366FF"/>
        </w:rPr>
        <w:t xml:space="preserve">B. </w:t>
      </w:r>
      <w:r>
        <w:t>Giai cấp tư sản.</w:t>
      </w:r>
      <w:r>
        <w:tab/>
      </w:r>
      <w:r w:rsidRPr="00F551DA">
        <w:rPr>
          <w:b/>
          <w:color w:val="3366FF"/>
        </w:rPr>
        <w:t xml:space="preserve">C. </w:t>
      </w:r>
      <w:r>
        <w:t>Giai cấp nông dân.</w:t>
      </w:r>
      <w:r>
        <w:tab/>
      </w:r>
      <w:r w:rsidRPr="00F551DA">
        <w:rPr>
          <w:b/>
          <w:color w:val="3366FF"/>
        </w:rPr>
        <w:t xml:space="preserve">D. </w:t>
      </w:r>
      <w:r>
        <w:t>Giai cấp công nhân.</w:t>
      </w:r>
    </w:p>
    <w:p w:rsidR="009D535A" w:rsidRDefault="009D535A" w:rsidP="009D535A">
      <w:pPr>
        <w:spacing w:before="60"/>
        <w:jc w:val="both"/>
      </w:pPr>
      <w:r w:rsidRPr="00F551DA">
        <w:rPr>
          <w:b/>
          <w:color w:val="0000FF"/>
        </w:rPr>
        <w:t>Câu 14:</w:t>
      </w:r>
      <w:r>
        <w:t xml:space="preserve"> Trong chính sách thương nghiệp, Pháp đã đánh thuế nặng các hàng hóa nước ngoài vì</w:t>
      </w:r>
    </w:p>
    <w:p w:rsidR="009D535A" w:rsidRDefault="009D535A" w:rsidP="009D535A">
      <w:pPr>
        <w:ind w:firstLine="283"/>
      </w:pPr>
      <w:r w:rsidRPr="00F551DA">
        <w:rPr>
          <w:b/>
          <w:color w:val="3366FF"/>
        </w:rPr>
        <w:t xml:space="preserve">A. </w:t>
      </w:r>
      <w:r>
        <w:t>Tạo sự cạnh tranh giữa hàng hóa các nước nhập vào Đông Dương.</w:t>
      </w:r>
    </w:p>
    <w:p w:rsidR="009D535A" w:rsidRDefault="009D535A" w:rsidP="009D535A">
      <w:pPr>
        <w:ind w:firstLine="283"/>
      </w:pPr>
      <w:r w:rsidRPr="00F551DA">
        <w:rPr>
          <w:b/>
          <w:color w:val="3366FF"/>
        </w:rPr>
        <w:t xml:space="preserve">B. </w:t>
      </w:r>
      <w:r>
        <w:t>Tạo điều kiện cho thương nghiệp Đông Dương phát triển.</w:t>
      </w:r>
    </w:p>
    <w:p w:rsidR="009D535A" w:rsidRDefault="009D535A" w:rsidP="009D535A">
      <w:pPr>
        <w:ind w:firstLine="283"/>
      </w:pPr>
      <w:r w:rsidRPr="00F551DA">
        <w:rPr>
          <w:b/>
          <w:color w:val="3366FF"/>
        </w:rPr>
        <w:t xml:space="preserve">C. </w:t>
      </w:r>
      <w:r>
        <w:t>Muốn độc quyền chiếm thị trường Việt Nam và Đông Dương.</w:t>
      </w:r>
    </w:p>
    <w:p w:rsidR="009D535A" w:rsidRDefault="009D535A" w:rsidP="009D535A">
      <w:pPr>
        <w:ind w:firstLine="283"/>
      </w:pPr>
      <w:r w:rsidRPr="00F551DA">
        <w:rPr>
          <w:b/>
          <w:color w:val="3366FF"/>
        </w:rPr>
        <w:t xml:space="preserve">D. </w:t>
      </w:r>
      <w:r>
        <w:t>Cản trở sự xâm nhập của hàng hóa nước ngoài.</w:t>
      </w:r>
    </w:p>
    <w:p w:rsidR="009D535A" w:rsidRDefault="009D535A" w:rsidP="009D535A">
      <w:pPr>
        <w:spacing w:before="60"/>
        <w:jc w:val="both"/>
      </w:pPr>
      <w:r w:rsidRPr="00F551DA">
        <w:rPr>
          <w:b/>
          <w:color w:val="0000FF"/>
        </w:rPr>
        <w:t>Câu 15:</w:t>
      </w:r>
      <w:r>
        <w:t xml:space="preserve"> Giai cấp có số lượng tăng nhanh trong cơ cấu xã hội Việt Nam do hậu quả của cuộc khai thác lần thứ hai của thực dân Pháp sau chiến tranh là giai cấp nào?</w:t>
      </w:r>
    </w:p>
    <w:p w:rsidR="009D535A" w:rsidRDefault="009D535A" w:rsidP="009D535A">
      <w:pPr>
        <w:tabs>
          <w:tab w:val="left" w:pos="2708"/>
          <w:tab w:val="left" w:pos="5138"/>
          <w:tab w:val="left" w:pos="7569"/>
        </w:tabs>
        <w:ind w:firstLine="283"/>
      </w:pPr>
      <w:r w:rsidRPr="00F551DA">
        <w:rPr>
          <w:b/>
          <w:color w:val="3366FF"/>
        </w:rPr>
        <w:t xml:space="preserve">A. </w:t>
      </w:r>
      <w:r>
        <w:t>Công nhân</w:t>
      </w:r>
      <w:r>
        <w:tab/>
      </w:r>
      <w:r w:rsidRPr="00F551DA">
        <w:rPr>
          <w:b/>
          <w:color w:val="3366FF"/>
        </w:rPr>
        <w:t xml:space="preserve">B. </w:t>
      </w:r>
      <w:r>
        <w:t>Tư sản</w:t>
      </w:r>
      <w:r>
        <w:tab/>
      </w:r>
      <w:r w:rsidRPr="00F551DA">
        <w:rPr>
          <w:b/>
          <w:color w:val="3366FF"/>
        </w:rPr>
        <w:t xml:space="preserve">C. </w:t>
      </w:r>
      <w:r>
        <w:t>Địa chủ</w:t>
      </w:r>
      <w:r>
        <w:tab/>
      </w:r>
      <w:r w:rsidRPr="00F551DA">
        <w:rPr>
          <w:b/>
          <w:color w:val="3366FF"/>
        </w:rPr>
        <w:t xml:space="preserve">D. </w:t>
      </w:r>
      <w:r>
        <w:t>Nông dân</w:t>
      </w:r>
    </w:p>
    <w:p w:rsidR="009D535A" w:rsidRDefault="009D535A" w:rsidP="009D535A">
      <w:pPr>
        <w:spacing w:before="60"/>
        <w:jc w:val="both"/>
      </w:pPr>
      <w:r w:rsidRPr="00F551DA">
        <w:rPr>
          <w:b/>
          <w:color w:val="0000FF"/>
        </w:rPr>
        <w:t>Câu 16:</w:t>
      </w:r>
      <w:r>
        <w:t xml:space="preserve"> Chương trình khai thác thuộc địa lần thứ hai của thực dân Pháp bắt đầu vào năm nào?</w:t>
      </w:r>
    </w:p>
    <w:p w:rsidR="009D535A" w:rsidRDefault="009D535A" w:rsidP="009D535A">
      <w:pPr>
        <w:tabs>
          <w:tab w:val="left" w:pos="2708"/>
          <w:tab w:val="left" w:pos="5138"/>
          <w:tab w:val="left" w:pos="7569"/>
        </w:tabs>
        <w:ind w:firstLine="283"/>
      </w:pPr>
      <w:r w:rsidRPr="00F551DA">
        <w:rPr>
          <w:b/>
          <w:color w:val="3366FF"/>
        </w:rPr>
        <w:t xml:space="preserve">A. </w:t>
      </w:r>
      <w:r>
        <w:t>1914</w:t>
      </w:r>
      <w:r>
        <w:tab/>
      </w:r>
      <w:r w:rsidRPr="00F551DA">
        <w:rPr>
          <w:b/>
          <w:color w:val="3366FF"/>
        </w:rPr>
        <w:t xml:space="preserve">B. </w:t>
      </w:r>
      <w:r>
        <w:t>1918</w:t>
      </w:r>
      <w:r>
        <w:tab/>
      </w:r>
      <w:r w:rsidRPr="00F551DA">
        <w:rPr>
          <w:b/>
          <w:color w:val="3366FF"/>
        </w:rPr>
        <w:t xml:space="preserve">C. </w:t>
      </w:r>
      <w:r>
        <w:t>1920</w:t>
      </w:r>
      <w:r>
        <w:tab/>
      </w:r>
      <w:r w:rsidRPr="00F551DA">
        <w:rPr>
          <w:b/>
          <w:color w:val="3366FF"/>
        </w:rPr>
        <w:t xml:space="preserve">D. </w:t>
      </w:r>
      <w:r>
        <w:t>1919</w:t>
      </w:r>
    </w:p>
    <w:p w:rsidR="009D535A" w:rsidRDefault="009D535A" w:rsidP="009D535A">
      <w:pPr>
        <w:spacing w:before="60"/>
        <w:jc w:val="both"/>
      </w:pPr>
      <w:r w:rsidRPr="00F551DA">
        <w:rPr>
          <w:b/>
          <w:color w:val="0000FF"/>
        </w:rPr>
        <w:t>Câu 17:</w:t>
      </w:r>
      <w:r>
        <w:t xml:space="preserve"> Sau Chiến tranh thế giới thứ hai, xã hội Việt Nam tồn tại nhiều mâu thuẫn, trong đó mâu thuẫn cơ bản nhất là gì?</w:t>
      </w:r>
    </w:p>
    <w:p w:rsidR="009D535A" w:rsidRDefault="009D535A" w:rsidP="009D535A">
      <w:pPr>
        <w:ind w:firstLine="283"/>
      </w:pPr>
      <w:r w:rsidRPr="00F551DA">
        <w:rPr>
          <w:b/>
          <w:color w:val="3366FF"/>
        </w:rPr>
        <w:t xml:space="preserve">A. </w:t>
      </w:r>
      <w:r>
        <w:t>Mâu thuẫn giữa nông dân và địa chủ.</w:t>
      </w:r>
    </w:p>
    <w:p w:rsidR="009D535A" w:rsidRDefault="009D535A" w:rsidP="009D535A">
      <w:pPr>
        <w:ind w:firstLine="283"/>
      </w:pPr>
      <w:r w:rsidRPr="00F551DA">
        <w:rPr>
          <w:b/>
          <w:color w:val="3366FF"/>
        </w:rPr>
        <w:t xml:space="preserve">B. </w:t>
      </w:r>
      <w:r>
        <w:t>Mâu thuẫn giữa nhân dân Việt Nam và thực dân Pháp.</w:t>
      </w:r>
    </w:p>
    <w:p w:rsidR="009D535A" w:rsidRDefault="009D535A" w:rsidP="009D535A">
      <w:pPr>
        <w:ind w:firstLine="283"/>
      </w:pPr>
      <w:r w:rsidRPr="00F551DA">
        <w:rPr>
          <w:b/>
          <w:color w:val="3366FF"/>
        </w:rPr>
        <w:t xml:space="preserve">C. </w:t>
      </w:r>
      <w:r>
        <w:t>Mâu thuẫn giữa công dân và tư bản.</w:t>
      </w:r>
    </w:p>
    <w:p w:rsidR="009D535A" w:rsidRDefault="009D535A" w:rsidP="009D535A">
      <w:pPr>
        <w:ind w:firstLine="283"/>
      </w:pPr>
      <w:r w:rsidRPr="00F551DA">
        <w:rPr>
          <w:b/>
          <w:color w:val="3366FF"/>
        </w:rPr>
        <w:t xml:space="preserve">D. </w:t>
      </w:r>
      <w:r>
        <w:t>Mâu thuẫn giữa tư sản Pháp và tư sản dân tộc.</w:t>
      </w:r>
    </w:p>
    <w:p w:rsidR="009D535A" w:rsidRDefault="009D535A" w:rsidP="009D535A">
      <w:pPr>
        <w:spacing w:before="60"/>
        <w:jc w:val="both"/>
      </w:pPr>
      <w:r w:rsidRPr="00F551DA">
        <w:rPr>
          <w:b/>
          <w:color w:val="0000FF"/>
        </w:rPr>
        <w:t>Câu 18:</w:t>
      </w:r>
      <w:r>
        <w:t xml:space="preserve"> Sau Chiến tranh thế giới thứ nhất, chính sách chính trị của pháp ở Việt Nam là gì?</w:t>
      </w:r>
    </w:p>
    <w:p w:rsidR="009D535A" w:rsidRDefault="009D535A" w:rsidP="009D535A">
      <w:pPr>
        <w:ind w:firstLine="283"/>
      </w:pPr>
      <w:r w:rsidRPr="00F551DA">
        <w:rPr>
          <w:b/>
          <w:color w:val="3366FF"/>
        </w:rPr>
        <w:t xml:space="preserve">A. </w:t>
      </w:r>
      <w:r>
        <w:t>Mua chuộc, lôi kéo địa chủ và tư bản người Việt.</w:t>
      </w:r>
    </w:p>
    <w:p w:rsidR="009D535A" w:rsidRDefault="009D535A" w:rsidP="009D535A">
      <w:pPr>
        <w:ind w:firstLine="283"/>
      </w:pPr>
      <w:r w:rsidRPr="00F551DA">
        <w:rPr>
          <w:b/>
          <w:color w:val="3366FF"/>
        </w:rPr>
        <w:t xml:space="preserve">B. </w:t>
      </w:r>
      <w:r>
        <w:t>Vua quan Nam Triều chỉ là bù nhìn, quyền lực trong tay người Pháp.</w:t>
      </w:r>
    </w:p>
    <w:p w:rsidR="009D535A" w:rsidRDefault="009D535A" w:rsidP="009D535A">
      <w:pPr>
        <w:ind w:firstLine="283"/>
      </w:pPr>
      <w:r w:rsidRPr="00F551DA">
        <w:rPr>
          <w:b/>
          <w:color w:val="3366FF"/>
        </w:rPr>
        <w:t xml:space="preserve">C. </w:t>
      </w:r>
      <w:r>
        <w:t>Thẳng tay đàn áp, khủng bố nhân dân ta.</w:t>
      </w:r>
    </w:p>
    <w:p w:rsidR="009D535A" w:rsidRDefault="009D535A" w:rsidP="009D535A">
      <w:pPr>
        <w:ind w:firstLine="283"/>
      </w:pPr>
      <w:r w:rsidRPr="00F551DA">
        <w:rPr>
          <w:b/>
          <w:color w:val="3366FF"/>
        </w:rPr>
        <w:t xml:space="preserve">D. </w:t>
      </w:r>
      <w:r>
        <w:t>A, B, C đúng.</w:t>
      </w:r>
    </w:p>
    <w:p w:rsidR="009D535A" w:rsidRDefault="009D535A" w:rsidP="009D535A">
      <w:pPr>
        <w:spacing w:before="60"/>
        <w:jc w:val="both"/>
      </w:pPr>
      <w:r w:rsidRPr="00F551DA">
        <w:rPr>
          <w:b/>
          <w:color w:val="0000FF"/>
        </w:rPr>
        <w:t>Câu 19:</w:t>
      </w:r>
      <w:r>
        <w:t xml:space="preserve"> Nguyên nhân thúc đẩy cuộc khai thác thuộc địa lần thứ hai của Pháp là gì?</w:t>
      </w:r>
    </w:p>
    <w:p w:rsidR="009D535A" w:rsidRDefault="009D535A" w:rsidP="009D535A">
      <w:pPr>
        <w:ind w:firstLine="283"/>
      </w:pPr>
      <w:r w:rsidRPr="00F551DA">
        <w:rPr>
          <w:b/>
          <w:color w:val="3366FF"/>
        </w:rPr>
        <w:t xml:space="preserve">A. </w:t>
      </w:r>
      <w:r>
        <w:t>Chuẩn bị cho chiến tranh thế giới.</w:t>
      </w:r>
    </w:p>
    <w:p w:rsidR="009D535A" w:rsidRDefault="009D535A" w:rsidP="009D535A">
      <w:pPr>
        <w:ind w:firstLine="283"/>
      </w:pPr>
      <w:r w:rsidRPr="00F551DA">
        <w:rPr>
          <w:b/>
          <w:color w:val="3366FF"/>
        </w:rPr>
        <w:t xml:space="preserve">B. </w:t>
      </w:r>
      <w:r>
        <w:t>Biến Việt Nam thành thị trường tiêu thụ của Pháp.</w:t>
      </w:r>
    </w:p>
    <w:p w:rsidR="009D535A" w:rsidRDefault="009D535A" w:rsidP="009D535A">
      <w:pPr>
        <w:ind w:firstLine="283"/>
      </w:pPr>
      <w:r w:rsidRPr="00F551DA">
        <w:rPr>
          <w:b/>
          <w:color w:val="3366FF"/>
        </w:rPr>
        <w:t xml:space="preserve">C. </w:t>
      </w:r>
      <w:r>
        <w:t>Phát triển thuộc địa.</w:t>
      </w:r>
    </w:p>
    <w:p w:rsidR="009D535A" w:rsidRDefault="009D535A" w:rsidP="009D535A">
      <w:pPr>
        <w:ind w:firstLine="283"/>
      </w:pPr>
      <w:r w:rsidRPr="00F551DA">
        <w:rPr>
          <w:b/>
          <w:color w:val="3366FF"/>
        </w:rPr>
        <w:t xml:space="preserve">D. </w:t>
      </w:r>
      <w:r>
        <w:t>Bù đắp những thiệt hại do chiến tranh thế giới gây ra.</w:t>
      </w:r>
    </w:p>
    <w:p w:rsidR="009D535A" w:rsidRDefault="009D535A" w:rsidP="009D535A">
      <w:pPr>
        <w:spacing w:before="60"/>
        <w:jc w:val="both"/>
      </w:pPr>
      <w:r w:rsidRPr="00F551DA">
        <w:rPr>
          <w:b/>
          <w:color w:val="0000FF"/>
        </w:rPr>
        <w:t>Câu 20:</w:t>
      </w:r>
      <w:r>
        <w:t xml:space="preserve"> Giai cấp công nhân Việt Nam có những đặc điểm riêng nào?</w:t>
      </w:r>
    </w:p>
    <w:p w:rsidR="009D535A" w:rsidRDefault="009D535A" w:rsidP="009D535A">
      <w:pPr>
        <w:ind w:firstLine="283"/>
      </w:pPr>
      <w:r w:rsidRPr="00F551DA">
        <w:rPr>
          <w:b/>
          <w:color w:val="3366FF"/>
        </w:rPr>
        <w:t xml:space="preserve">A. </w:t>
      </w:r>
      <w:r>
        <w:t>Đại diện cho lực lượng sản xuất tiến bộ</w:t>
      </w:r>
    </w:p>
    <w:p w:rsidR="009D535A" w:rsidRDefault="009D535A" w:rsidP="009D535A">
      <w:pPr>
        <w:ind w:firstLine="283"/>
      </w:pPr>
      <w:r w:rsidRPr="00F551DA">
        <w:rPr>
          <w:b/>
          <w:color w:val="3366FF"/>
        </w:rPr>
        <w:t xml:space="preserve">B. </w:t>
      </w:r>
      <w:r>
        <w:t>Bị ba tầng lớp áp bức bóc lột, có quan hệ tự nhiên với giai cấp nông dân kế thừa truyền thống yêu nước của dân tộc</w:t>
      </w:r>
    </w:p>
    <w:p w:rsidR="009D535A" w:rsidRDefault="009D535A" w:rsidP="009D535A">
      <w:pPr>
        <w:ind w:firstLine="283"/>
      </w:pPr>
      <w:r w:rsidRPr="00F551DA">
        <w:rPr>
          <w:b/>
          <w:color w:val="3366FF"/>
        </w:rPr>
        <w:t xml:space="preserve">C. </w:t>
      </w:r>
      <w:r>
        <w:t>Có tinh thần yêu nước chống giặc ngoại xâm.</w:t>
      </w:r>
    </w:p>
    <w:p w:rsidR="009D535A" w:rsidRDefault="009D535A" w:rsidP="009D535A">
      <w:pPr>
        <w:ind w:firstLine="283"/>
      </w:pPr>
      <w:r w:rsidRPr="00F551DA">
        <w:rPr>
          <w:b/>
          <w:color w:val="3366FF"/>
        </w:rPr>
        <w:t xml:space="preserve">D. </w:t>
      </w:r>
      <w:r>
        <w:t>Điều kiện lao động và sinh sống tập trung.</w:t>
      </w:r>
    </w:p>
    <w:p w:rsidR="009D535A" w:rsidRDefault="009D535A" w:rsidP="009D535A">
      <w:pPr>
        <w:spacing w:before="60"/>
        <w:jc w:val="both"/>
      </w:pPr>
      <w:r w:rsidRPr="00F551DA">
        <w:rPr>
          <w:b/>
          <w:color w:val="0000FF"/>
        </w:rPr>
        <w:t>Câu 21:</w:t>
      </w:r>
      <w:r>
        <w:t xml:space="preserve"> Thực dân Pháp thi hành chính sách "chia để trị", chia nước ta thành ba kỳ với ba chế độ chính trị khác nhau, đó là:</w:t>
      </w:r>
    </w:p>
    <w:p w:rsidR="009D535A" w:rsidRDefault="009D535A" w:rsidP="009D535A">
      <w:pPr>
        <w:ind w:firstLine="283"/>
      </w:pPr>
      <w:r w:rsidRPr="00F551DA">
        <w:rPr>
          <w:b/>
          <w:color w:val="3366FF"/>
        </w:rPr>
        <w:t xml:space="preserve">A. </w:t>
      </w:r>
      <w:r>
        <w:t>Nam Kì: thuộc Pháp; Trung Kì: nửa bảo hộ; Bắc Kì: bảo hộ.</w:t>
      </w:r>
    </w:p>
    <w:p w:rsidR="009D535A" w:rsidRDefault="009D535A" w:rsidP="009D535A">
      <w:pPr>
        <w:ind w:firstLine="283"/>
      </w:pPr>
      <w:r w:rsidRPr="00F551DA">
        <w:rPr>
          <w:b/>
          <w:color w:val="3366FF"/>
        </w:rPr>
        <w:t xml:space="preserve">B. </w:t>
      </w:r>
      <w:r>
        <w:t>Nam Kì: bảo hộ; Trung Kì: thuộc Pháp; Bắc Kì: bảo hộ.</w:t>
      </w:r>
    </w:p>
    <w:p w:rsidR="009D535A" w:rsidRDefault="009D535A" w:rsidP="009D535A">
      <w:pPr>
        <w:ind w:firstLine="283"/>
      </w:pPr>
      <w:r w:rsidRPr="00F551DA">
        <w:rPr>
          <w:b/>
          <w:color w:val="3366FF"/>
        </w:rPr>
        <w:t xml:space="preserve">C. </w:t>
      </w:r>
      <w:r>
        <w:t>Nam Kì: nửa bảo hộ; Trung Kì: bảo hộ; Bắc Kì: thuộc Pháp.</w:t>
      </w:r>
    </w:p>
    <w:p w:rsidR="009D535A" w:rsidRDefault="009D535A" w:rsidP="009D535A">
      <w:pPr>
        <w:ind w:firstLine="283"/>
      </w:pPr>
      <w:r w:rsidRPr="00F551DA">
        <w:rPr>
          <w:b/>
          <w:color w:val="3366FF"/>
        </w:rPr>
        <w:t xml:space="preserve">D. </w:t>
      </w:r>
      <w:r>
        <w:t>Nam Kì: thuộc Pháp; Trung Kì: bảo hộ; Bắc Kì: nửa bảo hộ.</w:t>
      </w:r>
    </w:p>
    <w:p w:rsidR="009D535A" w:rsidRDefault="009D535A" w:rsidP="009D535A">
      <w:pPr>
        <w:spacing w:before="60"/>
        <w:jc w:val="both"/>
      </w:pPr>
      <w:r w:rsidRPr="00F551DA">
        <w:rPr>
          <w:b/>
          <w:color w:val="0000FF"/>
        </w:rPr>
        <w:lastRenderedPageBreak/>
        <w:t>Câu 22:</w:t>
      </w:r>
      <w:r>
        <w:t xml:space="preserve"> Giai cấp nào có tinh thần cách mạng triệt để, có ý thức tổ chức kỉ luật gắn với nền sản xuất hiện đại, có quan hệ mật thiết với giai cấp nông dân.</w:t>
      </w:r>
    </w:p>
    <w:p w:rsidR="009D535A" w:rsidRDefault="009D535A" w:rsidP="009D535A">
      <w:pPr>
        <w:tabs>
          <w:tab w:val="left" w:pos="2708"/>
          <w:tab w:val="left" w:pos="5138"/>
          <w:tab w:val="left" w:pos="7569"/>
        </w:tabs>
        <w:ind w:firstLine="283"/>
      </w:pPr>
      <w:r w:rsidRPr="00F551DA">
        <w:rPr>
          <w:b/>
          <w:color w:val="3366FF"/>
        </w:rPr>
        <w:t xml:space="preserve">A. </w:t>
      </w:r>
      <w:r>
        <w:t>Giai cấp tiểu tư sản.</w:t>
      </w:r>
      <w:r>
        <w:tab/>
      </w:r>
      <w:r w:rsidRPr="00F551DA">
        <w:rPr>
          <w:b/>
          <w:color w:val="3366FF"/>
        </w:rPr>
        <w:t xml:space="preserve">B. </w:t>
      </w:r>
      <w:r>
        <w:t>Giai cấp tư sản.</w:t>
      </w:r>
      <w:r>
        <w:tab/>
      </w:r>
      <w:r w:rsidRPr="00F551DA">
        <w:rPr>
          <w:b/>
          <w:color w:val="3366FF"/>
        </w:rPr>
        <w:t xml:space="preserve">C. </w:t>
      </w:r>
      <w:r>
        <w:t>Giai cấp nông dân.</w:t>
      </w:r>
      <w:r>
        <w:tab/>
      </w:r>
      <w:r w:rsidRPr="00F551DA">
        <w:rPr>
          <w:b/>
          <w:color w:val="3366FF"/>
        </w:rPr>
        <w:t xml:space="preserve">D. </w:t>
      </w:r>
      <w:r>
        <w:t>Giai cấp công nhân.</w:t>
      </w:r>
    </w:p>
    <w:p w:rsidR="009D535A" w:rsidRDefault="009D535A" w:rsidP="009D535A">
      <w:pPr>
        <w:ind w:firstLine="283"/>
        <w:jc w:val="both"/>
      </w:pPr>
    </w:p>
    <w:p w:rsidR="00812653" w:rsidRPr="009D535A" w:rsidRDefault="009D535A" w:rsidP="001D6421">
      <w:pPr>
        <w:spacing w:line="360" w:lineRule="auto"/>
        <w:jc w:val="center"/>
        <w:rPr>
          <w:rFonts w:eastAsia="Times New Roman"/>
          <w:b/>
          <w:color w:val="FF0000"/>
          <w:szCs w:val="24"/>
          <w:lang w:val="en-GB"/>
        </w:rPr>
      </w:pPr>
      <w:r w:rsidRPr="009D535A">
        <w:rPr>
          <w:rFonts w:eastAsia="Times New Roman"/>
          <w:b/>
          <w:color w:val="FF0000"/>
          <w:szCs w:val="24"/>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28"/>
        <w:gridCol w:w="1028"/>
        <w:gridCol w:w="1028"/>
        <w:gridCol w:w="1028"/>
        <w:gridCol w:w="1028"/>
        <w:gridCol w:w="1028"/>
        <w:gridCol w:w="1028"/>
        <w:gridCol w:w="1028"/>
        <w:gridCol w:w="1028"/>
        <w:gridCol w:w="1029"/>
      </w:tblGrid>
      <w:tr w:rsidR="009D535A" w:rsidRPr="009D535A" w:rsidTr="009D535A">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A</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6</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C</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11</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B</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16</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21</w:t>
            </w:r>
          </w:p>
        </w:tc>
        <w:tc>
          <w:tcPr>
            <w:tcW w:w="1029"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A</w:t>
            </w:r>
          </w:p>
        </w:tc>
      </w:tr>
      <w:tr w:rsidR="009D535A" w:rsidRPr="009D535A" w:rsidTr="009D535A">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2</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7</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12</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A</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17</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22</w:t>
            </w:r>
          </w:p>
        </w:tc>
        <w:tc>
          <w:tcPr>
            <w:tcW w:w="1029"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r>
      <w:tr w:rsidR="009D535A" w:rsidRPr="009D535A" w:rsidTr="009D535A">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3</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C</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8</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B</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13</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C</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18</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B</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p>
        </w:tc>
        <w:tc>
          <w:tcPr>
            <w:tcW w:w="1029" w:type="dxa"/>
          </w:tcPr>
          <w:p w:rsidR="009D535A" w:rsidRPr="009D535A" w:rsidRDefault="009D535A" w:rsidP="002B6FEA">
            <w:pPr>
              <w:widowControl/>
              <w:autoSpaceDE w:val="0"/>
              <w:autoSpaceDN w:val="0"/>
              <w:adjustRightInd w:val="0"/>
              <w:rPr>
                <w:color w:val="0070C0"/>
                <w:kern w:val="0"/>
                <w:sz w:val="20"/>
                <w:szCs w:val="20"/>
                <w:lang w:eastAsia="en-US"/>
              </w:rPr>
            </w:pPr>
          </w:p>
        </w:tc>
      </w:tr>
      <w:tr w:rsidR="009D535A" w:rsidRPr="009D535A" w:rsidTr="009D535A">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4</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B</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9</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14</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C</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19</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D</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p>
        </w:tc>
        <w:tc>
          <w:tcPr>
            <w:tcW w:w="1029" w:type="dxa"/>
          </w:tcPr>
          <w:p w:rsidR="009D535A" w:rsidRPr="009D535A" w:rsidRDefault="009D535A" w:rsidP="002B6FEA">
            <w:pPr>
              <w:widowControl/>
              <w:autoSpaceDE w:val="0"/>
              <w:autoSpaceDN w:val="0"/>
              <w:adjustRightInd w:val="0"/>
              <w:rPr>
                <w:color w:val="0070C0"/>
                <w:kern w:val="0"/>
                <w:sz w:val="20"/>
                <w:szCs w:val="20"/>
                <w:lang w:eastAsia="en-US"/>
              </w:rPr>
            </w:pPr>
          </w:p>
        </w:tc>
      </w:tr>
      <w:tr w:rsidR="009D535A" w:rsidRPr="009D535A" w:rsidTr="009D535A">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5</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A</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10</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C</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15</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A</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20</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r w:rsidRPr="009D535A">
              <w:rPr>
                <w:color w:val="0070C0"/>
                <w:kern w:val="0"/>
                <w:sz w:val="20"/>
                <w:szCs w:val="20"/>
                <w:lang w:eastAsia="en-US"/>
              </w:rPr>
              <w:t>B</w:t>
            </w:r>
          </w:p>
        </w:tc>
        <w:tc>
          <w:tcPr>
            <w:tcW w:w="1028" w:type="dxa"/>
          </w:tcPr>
          <w:p w:rsidR="009D535A" w:rsidRPr="009D535A" w:rsidRDefault="009D535A" w:rsidP="002B6FEA">
            <w:pPr>
              <w:widowControl/>
              <w:autoSpaceDE w:val="0"/>
              <w:autoSpaceDN w:val="0"/>
              <w:adjustRightInd w:val="0"/>
              <w:rPr>
                <w:color w:val="0070C0"/>
                <w:kern w:val="0"/>
                <w:sz w:val="20"/>
                <w:szCs w:val="20"/>
                <w:lang w:eastAsia="en-US"/>
              </w:rPr>
            </w:pPr>
          </w:p>
        </w:tc>
        <w:tc>
          <w:tcPr>
            <w:tcW w:w="1029" w:type="dxa"/>
          </w:tcPr>
          <w:p w:rsidR="009D535A" w:rsidRPr="009D535A" w:rsidRDefault="009D535A" w:rsidP="002B6FEA">
            <w:pPr>
              <w:widowControl/>
              <w:autoSpaceDE w:val="0"/>
              <w:autoSpaceDN w:val="0"/>
              <w:adjustRightInd w:val="0"/>
              <w:rPr>
                <w:color w:val="0070C0"/>
                <w:kern w:val="0"/>
                <w:sz w:val="20"/>
                <w:szCs w:val="20"/>
                <w:lang w:eastAsia="en-US"/>
              </w:rPr>
            </w:pPr>
          </w:p>
        </w:tc>
      </w:tr>
    </w:tbl>
    <w:p w:rsidR="009D535A" w:rsidRDefault="009D535A" w:rsidP="001D6421">
      <w:pPr>
        <w:spacing w:line="360" w:lineRule="auto"/>
        <w:jc w:val="center"/>
        <w:rPr>
          <w:rFonts w:eastAsia="Times New Roman"/>
          <w:b/>
          <w:color w:val="FF0000"/>
          <w:sz w:val="28"/>
          <w:szCs w:val="28"/>
          <w:lang w:val="en-GB"/>
        </w:rPr>
      </w:pPr>
    </w:p>
    <w:p w:rsidR="009D535A" w:rsidRPr="00A05FC1" w:rsidRDefault="009D535A" w:rsidP="001D6421">
      <w:pPr>
        <w:spacing w:line="360" w:lineRule="auto"/>
        <w:jc w:val="center"/>
        <w:rPr>
          <w:rFonts w:eastAsia="Times New Roman"/>
          <w:b/>
          <w:color w:val="FF0000"/>
          <w:sz w:val="28"/>
          <w:szCs w:val="28"/>
          <w:lang w:val="en-GB"/>
        </w:rPr>
      </w:pPr>
      <w:bookmarkStart w:id="0" w:name="_GoBack"/>
      <w:bookmarkEnd w:id="0"/>
    </w:p>
    <w:sectPr w:rsidR="009D535A" w:rsidRPr="00A05FC1" w:rsidSect="00ED0450">
      <w:headerReference w:type="default" r:id="rId7"/>
      <w:footerReference w:type="default" r:id="rId8"/>
      <w:pgSz w:w="12240" w:h="15840"/>
      <w:pgMar w:top="851" w:right="758" w:bottom="851" w:left="1417"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65A" w:rsidRDefault="0030265A">
      <w:r>
        <w:separator/>
      </w:r>
    </w:p>
  </w:endnote>
  <w:endnote w:type="continuationSeparator" w:id="0">
    <w:p w:rsidR="0030265A" w:rsidRDefault="0030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D535A" w:rsidRPr="009D535A">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65A" w:rsidRDefault="0030265A">
      <w:r>
        <w:separator/>
      </w:r>
    </w:p>
  </w:footnote>
  <w:footnote w:type="continuationSeparator" w:id="0">
    <w:p w:rsidR="0030265A" w:rsidRDefault="0030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72952"/>
    <w:rsid w:val="00084086"/>
    <w:rsid w:val="000A0A18"/>
    <w:rsid w:val="000D64F0"/>
    <w:rsid w:val="000F551E"/>
    <w:rsid w:val="00113921"/>
    <w:rsid w:val="00114740"/>
    <w:rsid w:val="00172A27"/>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823"/>
    <w:rsid w:val="00384AFD"/>
    <w:rsid w:val="0038786B"/>
    <w:rsid w:val="00387D30"/>
    <w:rsid w:val="003A7474"/>
    <w:rsid w:val="003F1D93"/>
    <w:rsid w:val="003F4ECE"/>
    <w:rsid w:val="003F6A76"/>
    <w:rsid w:val="00410121"/>
    <w:rsid w:val="00410425"/>
    <w:rsid w:val="0043135F"/>
    <w:rsid w:val="0043333D"/>
    <w:rsid w:val="00434812"/>
    <w:rsid w:val="00452345"/>
    <w:rsid w:val="0048718A"/>
    <w:rsid w:val="0049069A"/>
    <w:rsid w:val="004A246E"/>
    <w:rsid w:val="004A3676"/>
    <w:rsid w:val="004C175A"/>
    <w:rsid w:val="004C3169"/>
    <w:rsid w:val="00530A99"/>
    <w:rsid w:val="005427CA"/>
    <w:rsid w:val="005455B6"/>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662C"/>
    <w:rsid w:val="00884A81"/>
    <w:rsid w:val="008A0A2A"/>
    <w:rsid w:val="008B4556"/>
    <w:rsid w:val="008B6F33"/>
    <w:rsid w:val="008C35B7"/>
    <w:rsid w:val="008C4ABA"/>
    <w:rsid w:val="008C6DB9"/>
    <w:rsid w:val="008F29CD"/>
    <w:rsid w:val="008F638E"/>
    <w:rsid w:val="008F741B"/>
    <w:rsid w:val="009059D3"/>
    <w:rsid w:val="00941C4E"/>
    <w:rsid w:val="009677EB"/>
    <w:rsid w:val="009B1AE7"/>
    <w:rsid w:val="009B342E"/>
    <w:rsid w:val="009C0716"/>
    <w:rsid w:val="009C3695"/>
    <w:rsid w:val="009D535A"/>
    <w:rsid w:val="00A05FC1"/>
    <w:rsid w:val="00A104DA"/>
    <w:rsid w:val="00A3356C"/>
    <w:rsid w:val="00A6282C"/>
    <w:rsid w:val="00AB7221"/>
    <w:rsid w:val="00AD205E"/>
    <w:rsid w:val="00B30593"/>
    <w:rsid w:val="00B50273"/>
    <w:rsid w:val="00B56D43"/>
    <w:rsid w:val="00C150CE"/>
    <w:rsid w:val="00C233BB"/>
    <w:rsid w:val="00C27D95"/>
    <w:rsid w:val="00C35B23"/>
    <w:rsid w:val="00C373B7"/>
    <w:rsid w:val="00C56E8A"/>
    <w:rsid w:val="00C9695D"/>
    <w:rsid w:val="00CC5804"/>
    <w:rsid w:val="00CE5EA8"/>
    <w:rsid w:val="00CF447B"/>
    <w:rsid w:val="00D11DC4"/>
    <w:rsid w:val="00D45CD4"/>
    <w:rsid w:val="00D47D19"/>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35F88"/>
    <w:rsid w:val="00F441C2"/>
    <w:rsid w:val="00F54198"/>
    <w:rsid w:val="00F61FA0"/>
    <w:rsid w:val="00F87C74"/>
    <w:rsid w:val="00FA2555"/>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5068</Characters>
  <Application>Microsoft Office Word</Application>
  <DocSecurity>0</DocSecurity>
  <PresentationFormat/>
  <Lines>42</Lines>
  <Paragraphs>11</Paragraphs>
  <Slides>0</Slides>
  <Notes>0</Notes>
  <HiddenSlides>0</HiddenSlides>
  <MMClips>0</MMClips>
  <ScaleCrop>false</ScaleCrop>
  <Manager/>
  <Company>www.thuvienhoclieu.com</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2020-08-05T04:20:00Z</dcterms:modified>
  <cp:revision>1</cp:revision>
  <dc:title>Trắc Nghiệm Môn Sử Lớp 9 Bài 14 Có Đáp Án File Word</dc:title>
</cp:coreProperties>
</file>