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2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2"/>
              </w:rPr>
            </w:pPr>
            <w:r>
              <w:rPr/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/>
            </w:pPr>
            <w:r>
              <w:rPr/>
              <w:t xml:space="preserve">         </w:t>
            </w:r>
            <w:r>
              <w:rPr/>
              <w:t>(</w:t>
            </w:r>
            <w:r>
              <w:rPr>
                <w:i/>
              </w:rPr>
              <w:t>Đề gồm có 02 trang</w:t>
            </w:r>
            <w:r>
              <w:rPr/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KIỂM TRA HỌC KỲ II NĂM HỌC 2018-2019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Môn: ĐỊA LÍ – Lớp 10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/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  </w:t>
            </w:r>
          </w:p>
          <w:tbl>
            <w:tblPr>
              <w:tblW w:w="1700" w:type="dxa"/>
              <w:jc w:val="left"/>
              <w:tblInd w:w="442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0"/>
            </w:tblGrid>
            <w:tr>
              <w:trPr>
                <w:trHeight w:val="388" w:hRule="atLeast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60"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MÃ ĐỀ 702               </w:t>
                  </w:r>
                </w:p>
              </w:tc>
            </w:tr>
          </w:tbl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right="422"/>
        <w:jc w:val="both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ind w:right="-1"/>
        <w:jc w:val="both"/>
        <w:rPr>
          <w:b/>
          <w:sz w:val="4"/>
        </w:rPr>
      </w:pPr>
      <w:r>
        <w:rPr>
          <w:b/>
          <w:sz w:val="4"/>
        </w:rPr>
      </w:r>
    </w:p>
    <w:p>
      <w:pPr>
        <w:pStyle w:val="Normal"/>
        <w:spacing w:lineRule="auto" w:line="288" w:before="0" w:after="60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60"/>
        <w:rPr>
          <w:b/>
        </w:rPr>
      </w:pPr>
      <w:r>
        <w:rPr>
          <w:b/>
        </w:rPr>
        <w:t>I. TRẮC NGHIỆM: (5 điểm)</w:t>
      </w:r>
    </w:p>
    <w:p>
      <w:pPr>
        <w:pStyle w:val="Normal"/>
        <w:rPr/>
      </w:pPr>
      <w:r>
        <w:rPr>
          <w:rFonts w:eastAsia="Arial"/>
          <w:b/>
          <w:u w:val="single"/>
          <w:shd w:fill="FFFFFF" w:val="clear"/>
        </w:rPr>
        <w:t>Câu 1</w:t>
      </w:r>
      <w:r>
        <w:rPr>
          <w:rFonts w:eastAsia="Arial"/>
          <w:shd w:fill="FFFFFF" w:val="clear"/>
        </w:rPr>
        <w:t>. Kênh đào Xuy – ê nối liền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rFonts w:eastAsia="Arial"/>
          <w:b/>
          <w:shd w:fill="FFFFFF" w:val="clear"/>
        </w:rPr>
        <w:t xml:space="preserve">A. </w:t>
      </w:r>
      <w:r>
        <w:rPr>
          <w:rFonts w:eastAsia="Arial"/>
          <w:shd w:fill="FFFFFF" w:val="clear"/>
        </w:rPr>
        <w:t>Biển Ban Tích và Biển Bắc</w:t>
        <w:tab/>
      </w:r>
      <w:r>
        <w:rPr>
          <w:rFonts w:eastAsia="Arial"/>
          <w:b/>
          <w:shd w:fill="FFFFFF" w:val="clear"/>
        </w:rPr>
        <w:t xml:space="preserve">B. </w:t>
      </w:r>
      <w:r>
        <w:rPr>
          <w:rFonts w:eastAsia="Arial"/>
          <w:shd w:fill="FFFFFF" w:val="clear"/>
        </w:rPr>
        <w:t xml:space="preserve">Ấn Độ Dương và Bắc Băng Dương. 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rFonts w:eastAsia="Arial"/>
          <w:b/>
          <w:shd w:fill="FFFFFF" w:val="clear"/>
        </w:rPr>
        <w:t xml:space="preserve">C. </w:t>
      </w:r>
      <w:r>
        <w:rPr>
          <w:rFonts w:eastAsia="Arial"/>
          <w:shd w:fill="FFFFFF" w:val="clear"/>
        </w:rPr>
        <w:t>Đại Tây Dương và Thái Bình Dương.</w:t>
        <w:tab/>
      </w:r>
      <w:r>
        <w:rPr>
          <w:rFonts w:eastAsia="Arial"/>
          <w:b/>
          <w:shd w:fill="FFFFFF" w:val="clear"/>
        </w:rPr>
        <w:t xml:space="preserve">D. </w:t>
      </w:r>
      <w:r>
        <w:rPr>
          <w:rFonts w:eastAsia="Arial"/>
          <w:shd w:fill="FFFFFF" w:val="clear"/>
        </w:rPr>
        <w:t>Biển Đỏ và Địa Trung Hải.</w:t>
      </w:r>
    </w:p>
    <w:p>
      <w:pPr>
        <w:pStyle w:val="Normal"/>
        <w:rPr/>
      </w:pPr>
      <w:r>
        <w:rPr>
          <w:b/>
          <w:u w:val="single"/>
        </w:rPr>
        <w:t>Câu 2</w:t>
      </w:r>
      <w:r>
        <w:rPr/>
        <w:t>. Thị trường hoạt động theo quy luật cung và cầu, nên khi cung nhỏ hơn cầu thì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A. </w:t>
      </w:r>
      <w:r>
        <w:rPr/>
        <w:t xml:space="preserve">giá cả trên thị trường có xu hướng giảm.         </w:t>
      </w:r>
      <w:r>
        <w:rPr>
          <w:b/>
        </w:rPr>
        <w:t xml:space="preserve">B. </w:t>
      </w:r>
      <w:r>
        <w:rPr/>
        <w:t>sản xuất sẽ có nguy cơ đình đốn.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C. </w:t>
      </w:r>
      <w:r>
        <w:rPr/>
        <w:t xml:space="preserve">giá cả trên thị trường sẽ ổn định.                     </w:t>
      </w:r>
      <w:r>
        <w:rPr>
          <w:b/>
        </w:rPr>
        <w:t xml:space="preserve">D. </w:t>
      </w:r>
      <w:r>
        <w:rPr/>
        <w:t>giá cả trên thị trường có xu hướng tăng.</w:t>
      </w:r>
    </w:p>
    <w:p>
      <w:pPr>
        <w:pStyle w:val="Normal"/>
        <w:rPr/>
      </w:pPr>
      <w:r>
        <w:rPr>
          <w:rFonts w:eastAsia="Arial"/>
          <w:b/>
          <w:u w:val="single"/>
        </w:rPr>
        <w:t>Câu 3</w:t>
      </w:r>
      <w:r>
        <w:rPr>
          <w:rFonts w:eastAsia="Arial"/>
        </w:rPr>
        <w:t>. Hình thức tổ chức lãnh thổ công nghiệp nào sau đây gắn với đô thị vừa và lớn?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rFonts w:eastAsia="Arial"/>
          <w:b/>
        </w:rPr>
        <w:t xml:space="preserve">A. </w:t>
      </w:r>
      <w:r>
        <w:rPr>
          <w:rFonts w:eastAsia="Arial"/>
        </w:rPr>
        <w:t>Trung tâm công nghiệp</w:t>
      </w:r>
      <w:r>
        <w:rPr/>
        <w:t>.</w:t>
      </w:r>
      <w:r>
        <w:rPr>
          <w:rFonts w:eastAsia="Arial"/>
        </w:rPr>
        <w:tab/>
      </w:r>
      <w:r>
        <w:rPr>
          <w:rFonts w:eastAsia="Arial"/>
          <w:b/>
        </w:rPr>
        <w:t xml:space="preserve">B. </w:t>
      </w:r>
      <w:r>
        <w:rPr>
          <w:rFonts w:eastAsia="Arial"/>
        </w:rPr>
        <w:t>Khu công nghiệp</w:t>
      </w:r>
      <w:r>
        <w:rPr/>
        <w:t>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rFonts w:eastAsia="Arial"/>
          <w:b/>
        </w:rPr>
        <w:t xml:space="preserve">C. </w:t>
      </w:r>
      <w:r>
        <w:rPr>
          <w:rFonts w:eastAsia="Arial"/>
        </w:rPr>
        <w:t>Điểm công nghiệp.</w:t>
        <w:tab/>
      </w:r>
      <w:r>
        <w:rPr>
          <w:rFonts w:eastAsia="Arial"/>
          <w:b/>
        </w:rPr>
        <w:t xml:space="preserve">D. </w:t>
      </w:r>
      <w:r>
        <w:rPr>
          <w:rFonts w:eastAsia="Arial"/>
        </w:rPr>
        <w:t>Vùng công nghiệp</w:t>
      </w:r>
      <w:r>
        <w:rPr/>
        <w:t>.</w:t>
      </w:r>
    </w:p>
    <w:p>
      <w:pPr>
        <w:pStyle w:val="Normal"/>
        <w:rPr/>
      </w:pPr>
      <w:r>
        <w:rPr>
          <w:b/>
          <w:u w:val="single"/>
        </w:rPr>
        <w:t>Câu 4</w:t>
      </w:r>
      <w:r>
        <w:rPr/>
        <w:t>. Ngành dịch vụ nào dưới đây thuộc nhóm dịch vụ tiêu dùng?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A. </w:t>
      </w:r>
      <w:r>
        <w:rPr/>
        <w:t>Thông tin liên lạc.</w:t>
        <w:tab/>
      </w:r>
      <w:r>
        <w:rPr>
          <w:b/>
        </w:rPr>
        <w:t xml:space="preserve">B. </w:t>
      </w:r>
      <w:r>
        <w:rPr/>
        <w:t>Bán buôn, bán lẻ.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C. </w:t>
      </w:r>
      <w:r>
        <w:rPr/>
        <w:t>Hành chính công.</w:t>
        <w:tab/>
      </w:r>
      <w:r>
        <w:rPr>
          <w:b/>
        </w:rPr>
        <w:t xml:space="preserve">D. </w:t>
      </w:r>
      <w:r>
        <w:rPr/>
        <w:t>Hoạt động đoàn thể.</w:t>
      </w:r>
    </w:p>
    <w:p>
      <w:pPr>
        <w:pStyle w:val="Normal"/>
        <w:rPr/>
      </w:pPr>
      <w:r>
        <w:rPr>
          <w:b/>
          <w:u w:val="single"/>
        </w:rPr>
        <w:t>Câu 5</w:t>
      </w:r>
      <w:r>
        <w:rPr/>
        <w:t xml:space="preserve">. Cho bảng số liệu: </w:t>
      </w:r>
    </w:p>
    <w:p>
      <w:pPr>
        <w:pStyle w:val="Normal"/>
        <w:jc w:val="center"/>
        <w:rPr/>
      </w:pPr>
      <w:r>
        <w:rPr/>
        <w:t>GIÁ TRỊ XUẤT KHẨU, NHẬP CỦA NHẬT BẢN GIAI ĐOẠN 2000 - 2014</w:t>
      </w:r>
    </w:p>
    <w:p>
      <w:pPr>
        <w:pStyle w:val="Normal"/>
        <w:rPr/>
      </w:pPr>
      <w:r>
        <w:rPr>
          <w:i/>
        </w:rPr>
        <w:tab/>
        <w:tab/>
        <w:tab/>
        <w:tab/>
        <w:tab/>
        <w:tab/>
        <w:tab/>
        <w:tab/>
        <w:tab/>
        <w:t xml:space="preserve">                    </w:t>
      </w:r>
      <w:r>
        <w:rPr/>
        <w:t>Đơn vị: tỉ USD</w:t>
      </w:r>
    </w:p>
    <w:tbl>
      <w:tblPr>
        <w:tblW w:w="86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19"/>
        <w:gridCol w:w="1639"/>
        <w:gridCol w:w="1670"/>
        <w:gridCol w:w="1418"/>
      </w:tblGrid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Năm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rPr>
                <w:b/>
                <w:szCs w:val="28"/>
              </w:rPr>
            </w:pPr>
            <w:r>
              <w:rPr>
                <w:b/>
                <w:szCs w:val="28"/>
              </w:rPr>
              <w:t>2000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rPr>
                <w:b/>
                <w:szCs w:val="28"/>
              </w:rPr>
            </w:pPr>
            <w:r>
              <w:rPr>
                <w:b/>
                <w:szCs w:val="28"/>
              </w:rPr>
              <w:t>2002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rPr>
                <w:b/>
                <w:szCs w:val="28"/>
              </w:rPr>
            </w:pPr>
            <w:r>
              <w:rPr>
                <w:b/>
                <w:szCs w:val="28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72" w:right="0"/>
              <w:rPr>
                <w:b/>
                <w:szCs w:val="28"/>
              </w:rPr>
            </w:pPr>
            <w:r>
              <w:rPr>
                <w:b/>
                <w:szCs w:val="28"/>
              </w:rPr>
              <w:t>2014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>Xuất khẩu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rPr>
                <w:szCs w:val="28"/>
              </w:rPr>
            </w:pPr>
            <w:r>
              <w:rPr>
                <w:szCs w:val="28"/>
              </w:rPr>
              <w:t>479,2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rPr>
                <w:szCs w:val="28"/>
              </w:rPr>
            </w:pPr>
            <w:r>
              <w:rPr>
                <w:szCs w:val="28"/>
              </w:rPr>
              <w:t>565,7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rPr>
                <w:szCs w:val="28"/>
              </w:rPr>
            </w:pPr>
            <w:r>
              <w:rPr>
                <w:szCs w:val="28"/>
              </w:rPr>
              <w:t>676,9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72" w:right="0"/>
              <w:rPr>
                <w:szCs w:val="28"/>
              </w:rPr>
            </w:pPr>
            <w:r>
              <w:rPr>
                <w:szCs w:val="28"/>
              </w:rPr>
              <w:t>747,8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>Nhập khẩu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rPr>
                <w:szCs w:val="28"/>
              </w:rPr>
            </w:pPr>
            <w:r>
              <w:rPr>
                <w:szCs w:val="28"/>
              </w:rPr>
              <w:t>379,5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rPr>
                <w:szCs w:val="28"/>
              </w:rPr>
            </w:pPr>
            <w:r>
              <w:rPr>
                <w:szCs w:val="28"/>
              </w:rPr>
              <w:t>454,5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right="0"/>
              <w:rPr>
                <w:szCs w:val="28"/>
              </w:rPr>
            </w:pPr>
            <w:r>
              <w:rPr>
                <w:szCs w:val="28"/>
              </w:rPr>
              <w:t>572,4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72" w:right="0"/>
              <w:rPr>
                <w:szCs w:val="28"/>
              </w:rPr>
            </w:pPr>
            <w:r>
              <w:rPr>
                <w:szCs w:val="28"/>
              </w:rPr>
              <w:t>602,6</w:t>
            </w:r>
          </w:p>
        </w:tc>
      </w:tr>
    </w:tbl>
    <w:p>
      <w:pPr>
        <w:pStyle w:val="Normal"/>
        <w:ind w:firstLine="283" w:right="0"/>
        <w:rPr>
          <w:lang w:val="nl-NL"/>
        </w:rPr>
      </w:pPr>
      <w:r>
        <w:rPr>
          <w:lang w:val="nl-NL"/>
        </w:rPr>
        <w:t>Để thể hiện tình hình giá trị xuất, nhập khẩu của Nhật Bản giai đoạn 2000-2014, dạng biểu đồ nào thích hợp nhất?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  <w:lang w:val="nl-NL"/>
        </w:rPr>
        <w:t xml:space="preserve">A. </w:t>
      </w:r>
      <w:r>
        <w:rPr>
          <w:lang w:val="nl-NL"/>
        </w:rPr>
        <w:t>Biểu đồ miền.</w:t>
        <w:tab/>
      </w:r>
      <w:r>
        <w:rPr>
          <w:b/>
          <w:lang w:val="nl-NL"/>
        </w:rPr>
        <w:t xml:space="preserve">B. </w:t>
      </w:r>
      <w:r>
        <w:rPr>
          <w:lang w:val="nl-NL"/>
        </w:rPr>
        <w:t>Biểu đồ cột ghép.</w:t>
      </w:r>
      <w:r>
        <w:rPr/>
        <w:tab/>
      </w:r>
      <w:r>
        <w:rPr>
          <w:b/>
          <w:lang w:val="nl-NL"/>
        </w:rPr>
        <w:t xml:space="preserve">C. </w:t>
      </w:r>
      <w:r>
        <w:rPr>
          <w:lang w:val="nl-NL"/>
        </w:rPr>
        <w:t xml:space="preserve">Biểu đồ tròn.         </w:t>
      </w:r>
      <w:r>
        <w:rPr>
          <w:b/>
          <w:lang w:val="nl-NL"/>
        </w:rPr>
        <w:t xml:space="preserve">D. </w:t>
      </w:r>
      <w:r>
        <w:rPr>
          <w:lang w:val="nl-NL"/>
        </w:rPr>
        <w:t>Biểu đồ kết hợp.</w:t>
      </w:r>
    </w:p>
    <w:p>
      <w:pPr>
        <w:pStyle w:val="Normal"/>
        <w:rPr/>
      </w:pPr>
      <w:r>
        <w:rPr>
          <w:b/>
          <w:u w:val="single"/>
          <w:lang w:val="nl-NL"/>
        </w:rPr>
        <w:t>Câu 6</w:t>
      </w:r>
      <w:r>
        <w:rPr>
          <w:lang w:val="nl-NL"/>
        </w:rPr>
        <w:t xml:space="preserve">. Vai trò nào sau đây </w:t>
      </w:r>
      <w:r>
        <w:rPr>
          <w:b/>
          <w:lang w:val="nl-NL"/>
        </w:rPr>
        <w:t>không đúng</w:t>
      </w:r>
      <w:r>
        <w:rPr>
          <w:lang w:val="nl-NL"/>
        </w:rPr>
        <w:t xml:space="preserve"> với ngành dịch vụ?</w:t>
      </w:r>
    </w:p>
    <w:p>
      <w:pPr>
        <w:pStyle w:val="Normal"/>
        <w:ind w:left="283" w:right="0"/>
        <w:rPr/>
      </w:pPr>
      <w:r>
        <w:rPr>
          <w:b/>
          <w:lang w:val="nl-NL"/>
        </w:rPr>
        <w:t xml:space="preserve">A. </w:t>
      </w:r>
      <w:r>
        <w:rPr>
          <w:lang w:val="nl-NL"/>
        </w:rPr>
        <w:t>Thúc đẩy các ngành sản xuất vật chất phát triển.</w:t>
      </w:r>
    </w:p>
    <w:p>
      <w:pPr>
        <w:pStyle w:val="Normal"/>
        <w:ind w:left="283" w:right="0"/>
        <w:rPr/>
      </w:pPr>
      <w:r>
        <w:rPr>
          <w:b/>
          <w:lang w:val="nl-NL"/>
        </w:rPr>
        <w:t xml:space="preserve">B. </w:t>
      </w:r>
      <w:r>
        <w:rPr>
          <w:lang w:val="nl-NL"/>
        </w:rPr>
        <w:t>Tạo thêm nhiều việc làm cho người lao động.</w:t>
      </w:r>
    </w:p>
    <w:p>
      <w:pPr>
        <w:pStyle w:val="Normal"/>
        <w:ind w:left="283" w:right="0"/>
        <w:rPr/>
      </w:pPr>
      <w:r>
        <w:rPr>
          <w:b/>
          <w:lang w:val="nl-NL"/>
        </w:rPr>
        <w:t xml:space="preserve">C. </w:t>
      </w:r>
      <w:r>
        <w:rPr>
          <w:lang w:val="nl-NL"/>
        </w:rPr>
        <w:t>Khai thác tốt hơn nguồn tài nguyên thiên nhiên.</w:t>
      </w:r>
    </w:p>
    <w:p>
      <w:pPr>
        <w:pStyle w:val="Normal"/>
        <w:ind w:left="283" w:right="0"/>
        <w:rPr/>
      </w:pPr>
      <w:r>
        <w:rPr>
          <w:b/>
          <w:lang w:val="nl-NL"/>
        </w:rPr>
        <w:t xml:space="preserve">D. </w:t>
      </w:r>
      <w:r>
        <w:rPr>
          <w:lang w:val="nl-NL"/>
        </w:rPr>
        <w:t>Sản xuất hàng tiêu dùng, phục vụ cho sinh hoạt.</w:t>
      </w:r>
    </w:p>
    <w:p>
      <w:pPr>
        <w:pStyle w:val="Normal"/>
        <w:rPr/>
      </w:pPr>
      <w:r>
        <w:rPr>
          <w:b/>
          <w:u w:val="single"/>
          <w:lang w:val="nl-NL"/>
        </w:rPr>
        <w:t>Câu 7</w:t>
      </w:r>
      <w:r>
        <w:rPr>
          <w:lang w:val="nl-NL"/>
        </w:rPr>
        <w:t>. Ngành công nghiệp được coi là cơ sở để phát triển nền công nghiệp hiện đại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  <w:lang w:val="nl-NL"/>
        </w:rPr>
        <w:t xml:space="preserve">A. </w:t>
      </w:r>
      <w:r>
        <w:rPr>
          <w:lang w:val="nl-NL"/>
        </w:rPr>
        <w:t>khai thác than.</w:t>
        <w:tab/>
      </w:r>
      <w:r>
        <w:rPr>
          <w:b/>
          <w:lang w:val="nl-NL"/>
        </w:rPr>
        <w:t xml:space="preserve">B. </w:t>
      </w:r>
      <w:r>
        <w:rPr>
          <w:lang w:val="nl-NL"/>
        </w:rPr>
        <w:t>khai thác dầu mỏ.</w:t>
        <w:tab/>
      </w:r>
      <w:r>
        <w:rPr>
          <w:b/>
        </w:rPr>
        <w:t xml:space="preserve">C. </w:t>
      </w:r>
      <w:r>
        <w:rPr/>
        <w:t>điện lực.</w:t>
        <w:tab/>
      </w:r>
      <w:r>
        <w:rPr>
          <w:b/>
        </w:rPr>
        <w:t xml:space="preserve">D. </w:t>
      </w:r>
      <w:r>
        <w:rPr/>
        <w:t>Dệt - may.</w:t>
      </w:r>
    </w:p>
    <w:p>
      <w:pPr>
        <w:pStyle w:val="Normal"/>
        <w:rPr/>
      </w:pPr>
      <w:r>
        <w:rPr>
          <w:b/>
          <w:u w:val="single"/>
        </w:rPr>
        <w:t>Câu 8</w:t>
      </w:r>
      <w:r>
        <w:rPr/>
        <w:t>. Nhược điểm lớn nhất của giao thông vận tải đường ô tô là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A. </w:t>
      </w:r>
      <w:r>
        <w:rPr/>
        <w:t>dễ gây ô nhiễm môi trường.</w:t>
        <w:tab/>
      </w:r>
      <w:r>
        <w:rPr>
          <w:b/>
        </w:rPr>
        <w:t xml:space="preserve">B. </w:t>
      </w:r>
      <w:r>
        <w:rPr/>
        <w:t>có khối lượng luân chuyển thấp.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C. </w:t>
      </w:r>
      <w:r>
        <w:rPr/>
        <w:t>chịu ảnh hưởng lớn của thời tiết.</w:t>
        <w:tab/>
      </w:r>
      <w:r>
        <w:rPr>
          <w:b/>
        </w:rPr>
        <w:t xml:space="preserve">D. </w:t>
      </w:r>
      <w:r>
        <w:rPr/>
        <w:t>tính cơ động, tiện lợi không cao.</w:t>
      </w:r>
    </w:p>
    <w:p>
      <w:pPr>
        <w:pStyle w:val="Normal"/>
        <w:rPr/>
      </w:pPr>
      <w:r>
        <w:rPr>
          <w:rFonts w:eastAsia="Arial"/>
          <w:b/>
          <w:u w:val="single"/>
        </w:rPr>
        <w:t>Câu 9</w:t>
      </w:r>
      <w:r>
        <w:rPr>
          <w:rFonts w:eastAsia="Arial"/>
        </w:rPr>
        <w:t>. Có khả năng phối hợp với hoạt động của các phương tiện vận tải khác là ưu điển của loại hình vận tải nào sau đây?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rFonts w:eastAsia="Arial"/>
          <w:b/>
        </w:rPr>
        <w:t xml:space="preserve">A. </w:t>
      </w:r>
      <w:r>
        <w:rPr>
          <w:rFonts w:eastAsia="Arial"/>
        </w:rPr>
        <w:t>Đường sắt.</w:t>
        <w:tab/>
      </w:r>
      <w:r>
        <w:rPr>
          <w:rFonts w:eastAsia="Arial"/>
          <w:b/>
        </w:rPr>
        <w:t xml:space="preserve">B. </w:t>
      </w:r>
      <w:r>
        <w:rPr>
          <w:rFonts w:eastAsia="Arial"/>
        </w:rPr>
        <w:t>Đường hàng không.</w:t>
        <w:tab/>
      </w:r>
      <w:r>
        <w:rPr>
          <w:rFonts w:eastAsia="Arial"/>
          <w:b/>
        </w:rPr>
        <w:t xml:space="preserve">C. </w:t>
      </w:r>
      <w:r>
        <w:rPr>
          <w:rFonts w:eastAsia="Arial"/>
        </w:rPr>
        <w:t>Đường biển.</w:t>
        <w:tab/>
      </w:r>
      <w:r>
        <w:rPr>
          <w:rFonts w:eastAsia="Arial"/>
          <w:b/>
        </w:rPr>
        <w:t xml:space="preserve">D. </w:t>
      </w:r>
      <w:r>
        <w:rPr>
          <w:rFonts w:eastAsia="Arial"/>
        </w:rPr>
        <w:t>Đường ô tô.</w:t>
      </w:r>
    </w:p>
    <w:p>
      <w:pPr>
        <w:pStyle w:val="Normal"/>
        <w:rPr/>
      </w:pPr>
      <w:r>
        <w:rPr>
          <w:b/>
          <w:u w:val="single"/>
        </w:rPr>
        <w:t>Câu 10</w:t>
      </w:r>
      <w:r>
        <w:rPr/>
        <w:t>. Cự li vận chuyển trung bình được tính bằng đơn vị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</w:rPr>
        <w:t xml:space="preserve">A. </w:t>
      </w:r>
      <w:r>
        <w:rPr/>
        <w:t>tấn.km</w:t>
      </w:r>
      <w:r>
        <w:rPr>
          <w:vertAlign w:val="superscript"/>
        </w:rPr>
        <w:t>2</w:t>
      </w:r>
      <w:r>
        <w:rPr/>
        <w:t>.</w:t>
        <w:tab/>
      </w:r>
      <w:r>
        <w:rPr>
          <w:b/>
        </w:rPr>
        <w:t xml:space="preserve">B. </w:t>
      </w:r>
      <w:r>
        <w:rPr/>
        <w:t>kg.</w:t>
      </w:r>
      <w:r>
        <w:rPr>
          <w:vertAlign w:val="superscript"/>
        </w:rPr>
        <w:tab/>
      </w:r>
      <w:r>
        <w:rPr>
          <w:b/>
        </w:rPr>
        <w:t xml:space="preserve">C. </w:t>
      </w:r>
      <w:r>
        <w:rPr/>
        <w:t>km.</w:t>
        <w:tab/>
      </w:r>
      <w:r>
        <w:rPr>
          <w:b/>
        </w:rPr>
        <w:t xml:space="preserve">D. </w:t>
      </w:r>
      <w:r>
        <w:rPr/>
        <w:t>tấn.km.</w:t>
      </w:r>
    </w:p>
    <w:p>
      <w:pPr>
        <w:pStyle w:val="Normal"/>
        <w:rPr/>
      </w:pPr>
      <w:r>
        <w:rPr>
          <w:b/>
          <w:u w:val="single"/>
        </w:rPr>
        <w:t>Câu 11</w:t>
      </w:r>
      <w:r>
        <w:rPr/>
        <w:t>. Than là nhiên liệu quan trọng cho nhà máy nhiệt điện, nhà máy luyện kim vì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A. </w:t>
      </w:r>
      <w:r>
        <w:rPr/>
        <w:t>trữ lượng than trên thế giới nhiều.</w:t>
        <w:tab/>
      </w:r>
      <w:r>
        <w:rPr>
          <w:b/>
        </w:rPr>
        <w:t xml:space="preserve">B. </w:t>
      </w:r>
      <w:r>
        <w:rPr/>
        <w:t>khả năng sinh nhiệt của than lớn.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C. </w:t>
      </w:r>
      <w:r>
        <w:rPr/>
        <w:t>phân bố rộng khắp trên thế giới.</w:t>
        <w:tab/>
      </w:r>
      <w:r>
        <w:rPr>
          <w:b/>
        </w:rPr>
        <w:t xml:space="preserve">D. </w:t>
      </w:r>
      <w:r>
        <w:rPr/>
        <w:t>có sản lượng khai thác than lớn.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/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/>
      </w:r>
    </w:p>
    <w:p>
      <w:pPr>
        <w:pStyle w:val="Normal"/>
        <w:rPr>
          <w:lang w:val="nl-NL"/>
        </w:rPr>
      </w:pPr>
      <w:r>
        <w:rPr>
          <w:b/>
          <w:u w:val="single"/>
          <w:lang w:val="nl-NL"/>
        </w:rPr>
        <w:t>Câu 12</w:t>
      </w:r>
      <w:r>
        <w:rPr>
          <w:lang w:val="nl-NL"/>
        </w:rPr>
        <w:t xml:space="preserve">. Cho bảng số liệu: </w:t>
      </w:r>
    </w:p>
    <w:p>
      <w:pPr>
        <w:pStyle w:val="Normal"/>
        <w:jc w:val="center"/>
        <w:rPr>
          <w:lang w:val="nl-NL"/>
        </w:rPr>
      </w:pPr>
      <w:r>
        <w:rPr>
          <w:lang w:val="nl-NL"/>
        </w:rPr>
        <w:t xml:space="preserve">KHỐI LƯỢNG VẬN CHUYỂN VÀ KHỐI LƯỢNG LUÂN CHUYỂN </w:t>
      </w:r>
    </w:p>
    <w:p>
      <w:pPr>
        <w:pStyle w:val="Normal"/>
        <w:jc w:val="center"/>
        <w:rPr/>
      </w:pPr>
      <w:r>
        <w:rPr/>
        <w:t>CỦA CÁC PHƯƠNG TIỆN VẬN TẢI NƯỚC TA NĂM 2014</w:t>
      </w:r>
    </w:p>
    <w:tbl>
      <w:tblPr>
        <w:tblW w:w="92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118"/>
        <w:gridCol w:w="3322"/>
      </w:tblGrid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Phương tiện vận tải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3" w:righ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Khối lượng vận chuyển</w:t>
            </w:r>
          </w:p>
          <w:p>
            <w:pPr>
              <w:pStyle w:val="Normal"/>
              <w:ind w:firstLine="33" w:right="0"/>
              <w:jc w:val="center"/>
              <w:rPr>
                <w:i/>
                <w:i/>
                <w:szCs w:val="28"/>
              </w:rPr>
            </w:pPr>
            <w:r>
              <w:rPr>
                <w:i/>
                <w:szCs w:val="28"/>
              </w:rPr>
              <w:t>(nghìn tấn)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Khối lượng luân chuyển</w:t>
            </w:r>
          </w:p>
          <w:p>
            <w:pPr>
              <w:pStyle w:val="Normal"/>
              <w:ind w:firstLine="34" w:right="0"/>
              <w:jc w:val="center"/>
              <w:rPr>
                <w:i/>
                <w:i/>
                <w:szCs w:val="28"/>
              </w:rPr>
            </w:pPr>
            <w:r>
              <w:rPr>
                <w:i/>
                <w:szCs w:val="28"/>
              </w:rPr>
              <w:t>(triệu tấn.km)</w:t>
            </w:r>
          </w:p>
        </w:tc>
      </w:tr>
      <w:tr>
        <w:trPr>
          <w:trHeight w:val="467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Đường ô tô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237562,1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10240,3</w:t>
            </w:r>
          </w:p>
        </w:tc>
      </w:tr>
    </w:tbl>
    <w:p>
      <w:pPr>
        <w:pStyle w:val="Normal"/>
        <w:rPr>
          <w:lang w:val="nl-NL"/>
        </w:rPr>
      </w:pPr>
      <w:r>
        <w:rPr>
          <w:lang w:val="nl-NL"/>
        </w:rPr>
        <w:t>Cự ly vận chuyển trung bình của phương tiện vận tải đường ô tô ở nước ta năm 2014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</w:rPr>
        <w:t xml:space="preserve">A. </w:t>
      </w:r>
      <w:r>
        <w:rPr/>
        <w:t>43,1 km.</w:t>
        <w:tab/>
      </w:r>
      <w:r>
        <w:rPr>
          <w:b/>
        </w:rPr>
        <w:t xml:space="preserve">B. </w:t>
      </w:r>
      <w:r>
        <w:rPr/>
        <w:t>45,8 km.</w:t>
        <w:tab/>
      </w:r>
      <w:r>
        <w:rPr>
          <w:b/>
        </w:rPr>
        <w:t xml:space="preserve">C. </w:t>
      </w:r>
      <w:r>
        <w:rPr/>
        <w:t>34,1 km.</w:t>
        <w:tab/>
      </w:r>
      <w:r>
        <w:rPr>
          <w:b/>
        </w:rPr>
        <w:t xml:space="preserve">D. </w:t>
      </w:r>
      <w:r>
        <w:rPr/>
        <w:t>54,8 km.</w:t>
      </w:r>
    </w:p>
    <w:p>
      <w:pPr>
        <w:pStyle w:val="Normal"/>
        <w:rPr/>
      </w:pPr>
      <w:r>
        <w:rPr>
          <w:b/>
          <w:u w:val="single"/>
        </w:rPr>
        <w:t>Câu 13</w:t>
      </w:r>
      <w:r>
        <w:rPr/>
        <w:t>. Điểm giống nhau cơ bản của trung tâm công nghiệp và vùng công nghiệp là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A. </w:t>
      </w:r>
      <w:r>
        <w:rPr/>
        <w:t xml:space="preserve">cả hai đều là vùng lãnh thổ rộng lớn. </w:t>
        <w:tab/>
      </w:r>
      <w:r>
        <w:rPr>
          <w:b/>
        </w:rPr>
        <w:t xml:space="preserve">B. </w:t>
      </w:r>
      <w:r>
        <w:rPr/>
        <w:t>chỉ có 1 đến 2 xí nghiệp công nghiệp.</w:t>
      </w:r>
    </w:p>
    <w:p>
      <w:pPr>
        <w:pStyle w:val="Normal"/>
        <w:tabs>
          <w:tab w:val="clear" w:pos="720"/>
          <w:tab w:val="left" w:pos="5802" w:leader="none"/>
        </w:tabs>
        <w:ind w:left="283" w:right="0"/>
        <w:rPr/>
      </w:pPr>
      <w:r>
        <w:rPr>
          <w:b/>
        </w:rPr>
        <w:t xml:space="preserve">C. </w:t>
      </w:r>
      <w:r>
        <w:rPr/>
        <w:t>đều có các ngành phục vụ và bổ trợ.</w:t>
        <w:tab/>
      </w:r>
      <w:r>
        <w:rPr>
          <w:b/>
        </w:rPr>
        <w:t xml:space="preserve">D. </w:t>
      </w:r>
      <w:r>
        <w:rPr/>
        <w:t>đồng nhất với một điểm dân cư.</w:t>
      </w:r>
    </w:p>
    <w:p>
      <w:pPr>
        <w:pStyle w:val="Normal"/>
        <w:rPr/>
      </w:pPr>
      <w:r>
        <w:rPr>
          <w:b/>
          <w:u w:val="single"/>
        </w:rPr>
        <w:t>Câu 14</w:t>
      </w:r>
      <w:r>
        <w:rPr/>
        <w:t xml:space="preserve">. Quy mô, cơ cấu dân số ảnh hưởng đến vấn đề nào của ngành dịch vụ? </w:t>
      </w:r>
    </w:p>
    <w:p>
      <w:pPr>
        <w:pStyle w:val="Normal"/>
        <w:ind w:left="283" w:right="0"/>
        <w:rPr/>
      </w:pPr>
      <w:r>
        <w:rPr>
          <w:b/>
        </w:rPr>
        <w:t xml:space="preserve">A. </w:t>
      </w:r>
      <w:r>
        <w:rPr/>
        <w:t>Sự phát triển và phân bố ngành dịch vụ du lịch.</w:t>
      </w:r>
    </w:p>
    <w:p>
      <w:pPr>
        <w:pStyle w:val="Normal"/>
        <w:ind w:left="283" w:right="0"/>
        <w:rPr/>
      </w:pPr>
      <w:r>
        <w:rPr>
          <w:b/>
        </w:rPr>
        <w:t xml:space="preserve">B. </w:t>
      </w:r>
      <w:r>
        <w:rPr/>
        <w:t>Nhịp độ phát triển và cơ cấu ngành dịch vụ.</w:t>
      </w:r>
    </w:p>
    <w:p>
      <w:pPr>
        <w:pStyle w:val="Normal"/>
        <w:ind w:left="283" w:right="0"/>
        <w:rPr/>
      </w:pPr>
      <w:r>
        <w:rPr>
          <w:b/>
        </w:rPr>
        <w:t xml:space="preserve">C. </w:t>
      </w:r>
      <w:r>
        <w:rPr/>
        <w:t>Đầu tư bổ sung lao động cho ngành dịch vụ.</w:t>
      </w:r>
    </w:p>
    <w:p>
      <w:pPr>
        <w:pStyle w:val="Normal"/>
        <w:ind w:left="283" w:right="0"/>
        <w:rPr/>
      </w:pPr>
      <w:r>
        <w:rPr>
          <w:b/>
        </w:rPr>
        <w:t xml:space="preserve">D. </w:t>
      </w:r>
      <w:r>
        <w:rPr/>
        <w:t>Hình thức tổ chức mạng lưới ngành dịch vụ.</w:t>
      </w:r>
    </w:p>
    <w:p>
      <w:pPr>
        <w:pStyle w:val="Normal"/>
        <w:rPr/>
      </w:pPr>
      <w:r>
        <w:rPr>
          <w:b/>
          <w:u w:val="single"/>
        </w:rPr>
        <w:t>Câu 15</w:t>
      </w:r>
      <w:r>
        <w:rPr/>
        <w:t>. Ngành công nghiệp được coi là thước đo trình độ phát triển kinh tế- kĩ thuật của mọi quốc gia trên thế giới là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>
          <w:b/>
        </w:rPr>
        <w:t xml:space="preserve">A. </w:t>
      </w:r>
      <w:r>
        <w:rPr/>
        <w:t>điện tử- tin học.</w:t>
        <w:tab/>
      </w:r>
      <w:r>
        <w:rPr>
          <w:b/>
        </w:rPr>
        <w:t xml:space="preserve">B. </w:t>
      </w:r>
      <w:r>
        <w:rPr/>
        <w:t>dệt - may.</w:t>
        <w:tab/>
      </w:r>
      <w:r>
        <w:rPr>
          <w:b/>
        </w:rPr>
        <w:t xml:space="preserve">C. </w:t>
      </w:r>
      <w:r>
        <w:rPr/>
        <w:t>khai thác than.</w:t>
        <w:tab/>
      </w:r>
      <w:r>
        <w:rPr>
          <w:b/>
        </w:rPr>
        <w:t xml:space="preserve">D. </w:t>
      </w:r>
      <w:r>
        <w:rPr/>
        <w:t>thực phẩm.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/>
      </w:r>
    </w:p>
    <w:p>
      <w:pPr>
        <w:pStyle w:val="Normal"/>
        <w:spacing w:lineRule="auto" w:line="288"/>
        <w:rPr>
          <w:rFonts w:eastAsia="Arial"/>
          <w:b/>
        </w:rPr>
      </w:pPr>
      <w:r>
        <w:rPr>
          <w:rFonts w:eastAsia="Arial"/>
          <w:b/>
        </w:rPr>
        <w:t>II. TỰ LUẬN: (5 điểm)</w:t>
      </w:r>
    </w:p>
    <w:p>
      <w:pPr>
        <w:pStyle w:val="Normal"/>
        <w:spacing w:lineRule="auto" w:line="288"/>
        <w:rPr/>
      </w:pPr>
      <w:r>
        <w:rPr>
          <w:rFonts w:eastAsia="Arial"/>
          <w:b/>
          <w:u w:val="single"/>
        </w:rPr>
        <w:t>Câu 1:</w:t>
      </w:r>
      <w:r>
        <w:rPr>
          <w:rFonts w:eastAsia="Arial"/>
          <w:b/>
        </w:rPr>
        <w:t xml:space="preserve"> (3,0 điểm)</w:t>
      </w:r>
    </w:p>
    <w:p>
      <w:pPr>
        <w:pStyle w:val="Normal"/>
        <w:spacing w:lineRule="auto" w:line="288"/>
        <w:ind w:firstLine="284" w:right="0"/>
        <w:rPr/>
      </w:pPr>
      <w:r>
        <w:rPr>
          <w:rFonts w:eastAsia="Arial"/>
          <w:lang w:val="vi-VN"/>
        </w:rPr>
        <w:t xml:space="preserve">a. </w:t>
      </w:r>
      <w:r>
        <w:rPr>
          <w:rFonts w:eastAsia="Arial"/>
        </w:rPr>
        <w:t>Trình bày ưu, nhược điểm của ngành giao thông vận tải đường ô tô.</w:t>
      </w:r>
    </w:p>
    <w:p>
      <w:pPr>
        <w:pStyle w:val="Normal"/>
        <w:spacing w:lineRule="auto" w:line="288"/>
        <w:ind w:firstLine="284" w:right="0"/>
        <w:rPr/>
      </w:pPr>
      <w:r>
        <w:rPr>
          <w:rFonts w:eastAsia="Arial"/>
          <w:lang w:val="vi-VN"/>
        </w:rPr>
        <w:t>b</w:t>
      </w:r>
      <w:r>
        <w:rPr>
          <w:rFonts w:eastAsia="Arial"/>
        </w:rPr>
        <w:t>. Nêu các giải pháp để khắc phục những nhược điểm của ngành giao thông vận tải đường ô tô.</w:t>
      </w:r>
    </w:p>
    <w:p>
      <w:pPr>
        <w:pStyle w:val="Normal"/>
        <w:spacing w:lineRule="auto" w:line="288"/>
        <w:rPr/>
      </w:pPr>
      <w:r>
        <w:rPr>
          <w:rFonts w:eastAsia="Arial"/>
          <w:b/>
          <w:u w:val="single"/>
        </w:rPr>
        <w:t>Câu 2:</w:t>
      </w:r>
      <w:r>
        <w:rPr>
          <w:rFonts w:eastAsia="Arial"/>
          <w:b/>
        </w:rPr>
        <w:t xml:space="preserve"> (2,0 điểm)</w:t>
      </w:r>
    </w:p>
    <w:p>
      <w:pPr>
        <w:pStyle w:val="Normal"/>
        <w:spacing w:lineRule="auto" w:line="288"/>
        <w:ind w:firstLine="426" w:right="0"/>
        <w:rPr>
          <w:rFonts w:eastAsia="Arial"/>
          <w:b/>
        </w:rPr>
      </w:pPr>
      <w:r>
        <w:rPr>
          <w:rFonts w:eastAsia="Arial"/>
        </w:rPr>
        <w:t>Cho bảng số liệu:</w:t>
      </w:r>
    </w:p>
    <w:p>
      <w:pPr>
        <w:pStyle w:val="Normal"/>
        <w:spacing w:lineRule="auto" w:line="288"/>
        <w:jc w:val="center"/>
        <w:rPr/>
      </w:pPr>
      <w:r>
        <w:rPr>
          <w:rFonts w:eastAsia="Arial"/>
        </w:rPr>
        <w:t xml:space="preserve">SẢN LƯỢNG THAN, ĐIỆN CỦA </w:t>
      </w:r>
      <w:r>
        <w:rPr>
          <w:rFonts w:eastAsia="Arial"/>
          <w:lang w:val="vi-VN"/>
        </w:rPr>
        <w:t xml:space="preserve">NƯỚC TA </w:t>
      </w:r>
      <w:r>
        <w:rPr/>
        <w:t>GIAI ĐOẠN 2000 – 2015</w:t>
      </w:r>
    </w:p>
    <w:tbl>
      <w:tblPr>
        <w:tblW w:w="89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701"/>
        <w:gridCol w:w="1701"/>
        <w:gridCol w:w="1701"/>
        <w:gridCol w:w="1701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Năm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2005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2015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Than </w:t>
            </w:r>
            <w:r>
              <w:rPr>
                <w:rFonts w:eastAsia="Arial"/>
                <w:i/>
              </w:rPr>
              <w:t>(triệu tấn)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</w:rPr>
            </w:pPr>
            <w:r>
              <w:rPr>
                <w:rFonts w:eastAsia="Arial"/>
              </w:rPr>
              <w:t>11,6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</w:rPr>
            </w:pPr>
            <w:r>
              <w:rPr>
                <w:rFonts w:eastAsia="Arial"/>
              </w:rPr>
              <w:t>34,1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</w:rPr>
            </w:pPr>
            <w:r>
              <w:rPr>
                <w:rFonts w:eastAsia="Arial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Arial"/>
              </w:rPr>
              <w:t>41,7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Điện </w:t>
            </w:r>
            <w:r>
              <w:rPr>
                <w:rFonts w:eastAsia="Arial"/>
                <w:i/>
              </w:rPr>
              <w:t>(tỉ Kwh)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</w:rPr>
            </w:pPr>
            <w:r>
              <w:rPr>
                <w:rFonts w:eastAsia="Arial"/>
              </w:rPr>
              <w:t>26,7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</w:rPr>
            </w:pPr>
            <w:r>
              <w:rPr>
                <w:rFonts w:eastAsia="Arial"/>
              </w:rPr>
              <w:t>52,1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ind w:firstLine="567" w:right="0"/>
              <w:rPr>
                <w:rFonts w:eastAsia="Arial"/>
              </w:rPr>
            </w:pPr>
            <w:r>
              <w:rPr>
                <w:rFonts w:eastAsia="Arial"/>
              </w:rPr>
              <w:t>91,7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157,9</w:t>
            </w:r>
          </w:p>
        </w:tc>
      </w:tr>
    </w:tbl>
    <w:p>
      <w:pPr>
        <w:pStyle w:val="Normal"/>
        <w:spacing w:lineRule="auto" w:line="288"/>
        <w:rPr/>
      </w:pPr>
      <w:r>
        <w:rPr>
          <w:rFonts w:eastAsia="Times New Roman"/>
          <w:i/>
        </w:rPr>
        <w:t xml:space="preserve">                                         </w:t>
      </w:r>
      <w:r>
        <w:rPr>
          <w:rFonts w:eastAsia="Times New Roman"/>
          <w:i/>
          <w:lang w:val="vi-VN"/>
        </w:rPr>
        <w:t xml:space="preserve">               </w:t>
      </w:r>
      <w:r>
        <w:rPr>
          <w:rFonts w:eastAsia="Times New Roman"/>
          <w:i/>
        </w:rPr>
        <w:t xml:space="preserve">       </w:t>
      </w:r>
      <w:r>
        <w:rPr>
          <w:rFonts w:eastAsia="Arial"/>
          <w:i/>
        </w:rPr>
        <w:t>(Niên giám thống kê – Tổng cục thống kê, năm 2017)</w:t>
      </w:r>
    </w:p>
    <w:p>
      <w:pPr>
        <w:pStyle w:val="Normal"/>
        <w:spacing w:lineRule="auto" w:line="288"/>
        <w:ind w:firstLine="426" w:right="0"/>
        <w:jc w:val="both"/>
        <w:rPr/>
      </w:pPr>
      <w:r>
        <w:rPr>
          <w:rFonts w:eastAsia="Arial"/>
        </w:rPr>
        <w:t xml:space="preserve">a. Tính tốc độ tăng trưởng sản lượng than, điện </w:t>
      </w:r>
      <w:r>
        <w:rPr>
          <w:rFonts w:eastAsia="Arial"/>
          <w:lang w:val="vi-VN"/>
        </w:rPr>
        <w:t xml:space="preserve">của </w:t>
      </w:r>
      <w:r>
        <w:rPr>
          <w:rFonts w:eastAsia="Arial"/>
        </w:rPr>
        <w:t>nước ta qua các năm trên.</w:t>
      </w:r>
    </w:p>
    <w:p>
      <w:pPr>
        <w:pStyle w:val="Normal"/>
        <w:spacing w:lineRule="auto" w:line="288"/>
        <w:ind w:firstLine="426" w:right="0"/>
        <w:jc w:val="both"/>
        <w:rPr/>
      </w:pPr>
      <w:r>
        <w:rPr>
          <w:rFonts w:eastAsia="Arial"/>
        </w:rPr>
        <w:t xml:space="preserve">b. Để thể hiện tốc độ tăng trưởng sản lượng than, điện </w:t>
      </w:r>
      <w:r>
        <w:rPr>
          <w:rFonts w:eastAsia="Arial"/>
          <w:lang w:val="vi-VN"/>
        </w:rPr>
        <w:t xml:space="preserve">của </w:t>
      </w:r>
      <w:r>
        <w:rPr>
          <w:rFonts w:eastAsia="Arial"/>
        </w:rPr>
        <w:t>nước ta giai đoạn 2000 – 2015,</w:t>
      </w:r>
    </w:p>
    <w:p>
      <w:pPr>
        <w:pStyle w:val="Normal"/>
        <w:spacing w:lineRule="auto" w:line="288"/>
        <w:ind w:firstLine="426" w:right="0"/>
        <w:jc w:val="both"/>
        <w:rPr/>
      </w:pPr>
      <w:r>
        <w:rPr>
          <w:rFonts w:eastAsia="Times New Roman"/>
        </w:rPr>
        <w:t xml:space="preserve">    </w:t>
      </w:r>
      <w:r>
        <w:rPr>
          <w:rFonts w:eastAsia="Arial"/>
        </w:rPr>
        <w:t>dạng biểu đồ nào thích hợp nhất?</w:t>
      </w:r>
    </w:p>
    <w:p>
      <w:pPr>
        <w:pStyle w:val="Normal"/>
        <w:spacing w:lineRule="auto" w:line="288"/>
        <w:ind w:firstLine="426" w:right="0"/>
        <w:jc w:val="both"/>
        <w:rPr>
          <w:rFonts w:eastAsia="Arial"/>
        </w:rPr>
      </w:pPr>
      <w:r>
        <w:rPr>
          <w:rFonts w:eastAsia="Arial"/>
        </w:rPr>
        <w:t>c. Nhận xét tốc độ tăng trưởng sản lượng than, điện nước ta giai đoạn 2000 – 2015.</w:t>
      </w:r>
    </w:p>
    <w:p>
      <w:pPr>
        <w:pStyle w:val="Normal"/>
        <w:widowControl w:val="false"/>
        <w:autoSpaceDE w:val="false"/>
        <w:spacing w:lineRule="auto" w:line="288"/>
        <w:rPr>
          <w:rFonts w:eastAsia="Arial"/>
        </w:rPr>
      </w:pPr>
      <w:r>
        <w:rPr>
          <w:rFonts w:eastAsia="Arial"/>
        </w:rPr>
      </w:r>
    </w:p>
    <w:p>
      <w:pPr>
        <w:pStyle w:val="Normal"/>
        <w:widowControl w:val="false"/>
        <w:autoSpaceDE w:val="false"/>
        <w:spacing w:lineRule="auto" w:line="288"/>
        <w:rPr>
          <w:rFonts w:eastAsia="Arial"/>
        </w:rPr>
      </w:pPr>
      <w:r>
        <w:rPr>
          <w:rFonts w:eastAsia="Arial"/>
        </w:rPr>
      </w:r>
    </w:p>
    <w:p>
      <w:pPr>
        <w:pStyle w:val="Normal"/>
        <w:widowControl w:val="false"/>
        <w:autoSpaceDE w:val="false"/>
        <w:rPr/>
      </w:pPr>
      <w:r>
        <w:rPr>
          <w:rFonts w:eastAsia="Times New Roman"/>
        </w:rPr>
        <w:t xml:space="preserve">                            </w:t>
      </w:r>
      <w:r>
        <w:rPr>
          <w:rFonts w:eastAsia="Arial"/>
        </w:rPr>
        <w:t>-----------------------------------Hết -----------------------------</w:t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/>
      </w:r>
    </w:p>
    <w:tbl>
      <w:tblPr>
        <w:tblW w:w="101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SỞ GIÁO DỤC VÀ ĐÀO TẠO</w:t>
            </w:r>
          </w:p>
          <w:p>
            <w:pPr>
              <w:pStyle w:val="Normal"/>
              <w:jc w:val="center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9.35pt,18.45pt" to="127.3pt,18.4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</w:rPr>
              <w:t>QUẢNG NAM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328295</wp:posOffset>
                      </wp:positionV>
                      <wp:extent cx="1513840" cy="310515"/>
                      <wp:effectExtent l="0" t="0" r="0" b="0"/>
                      <wp:wrapNone/>
                      <wp:docPr id="4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25.85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4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138430</wp:posOffset>
                      </wp:positionV>
                      <wp:extent cx="1513840" cy="310515"/>
                      <wp:effectExtent l="0" t="0" r="0" b="0"/>
                      <wp:wrapNone/>
                      <wp:docPr id="5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ĐÁP ÁN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10.9pt;mso-position-vertical-relative:text;margin-left:26.2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ĐÁP ÁN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i/>
              </w:rPr>
              <w:t>Đáp án gồm có 03 trang</w:t>
            </w:r>
            <w:r>
              <w:rPr/>
              <w:t>)</w:t>
            </w:r>
          </w:p>
        </w:tc>
        <w:tc>
          <w:tcPr>
            <w:tcW w:w="6348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KIỂM TRA HỌC KỲ II NĂM HỌC 2018-2019</w:t>
            </w:r>
          </w:p>
          <w:p>
            <w:pPr>
              <w:pStyle w:val="Normal"/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Môn: ĐỊA LÍ – Lớp 10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/>
              <w:t xml:space="preserve">Thời gian: 45 phút (không kể thời gian giao đề)  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                                                 </w:t>
            </w:r>
          </w:p>
        </w:tc>
      </w:tr>
    </w:tbl>
    <w:p>
      <w:pPr>
        <w:pStyle w:val="Normal"/>
        <w:widowControl w:val="false"/>
        <w:autoSpaceDE w:val="false"/>
        <w:rPr>
          <w:rFonts w:eastAsia="Arial"/>
          <w:b/>
        </w:rPr>
      </w:pPr>
      <w:r>
        <w:rPr>
          <w:rFonts w:eastAsia="Arial"/>
          <w:b/>
        </w:rPr>
      </w:r>
    </w:p>
    <w:p>
      <w:pPr>
        <w:pStyle w:val="Normal"/>
        <w:jc w:val="center"/>
        <w:rPr>
          <w:rFonts w:eastAsia="Arial"/>
          <w:b/>
          <w:sz w:val="30"/>
          <w:szCs w:val="30"/>
        </w:rPr>
      </w:pPr>
      <w:r>
        <w:rPr>
          <w:rFonts w:eastAsia="Arial"/>
          <w:b/>
          <w:sz w:val="30"/>
          <w:szCs w:val="30"/>
        </w:rPr>
        <w:t xml:space="preserve">ĐÁP ÁN – HƯỚNG DẪN CHẤM </w:t>
      </w:r>
    </w:p>
    <w:p>
      <w:pPr>
        <w:pStyle w:val="Normal"/>
        <w:jc w:val="center"/>
        <w:rPr>
          <w:rFonts w:eastAsia="Arial"/>
          <w:b/>
          <w:sz w:val="30"/>
          <w:szCs w:val="30"/>
        </w:rPr>
      </w:pPr>
      <w:r>
        <w:rPr>
          <w:rFonts w:eastAsia="Arial"/>
          <w:b/>
          <w:sz w:val="30"/>
          <w:szCs w:val="30"/>
        </w:rPr>
        <w:t>MÔN: ĐỊA LÍ – Lớp 10 – NĂM HỌC 2018 – 2019</w:t>
      </w:r>
    </w:p>
    <w:p>
      <w:pPr>
        <w:pStyle w:val="Normal"/>
        <w:jc w:val="center"/>
        <w:rPr>
          <w:rFonts w:eastAsia="Arial"/>
          <w:b/>
          <w:sz w:val="30"/>
          <w:szCs w:val="30"/>
        </w:rPr>
      </w:pPr>
      <w:r>
        <w:rPr>
          <w:rFonts w:eastAsia="Arial"/>
          <w:b/>
          <w:sz w:val="30"/>
          <w:szCs w:val="30"/>
        </w:rPr>
      </w:r>
    </w:p>
    <w:p>
      <w:pPr>
        <w:pStyle w:val="Normal"/>
        <w:widowControl w:val="false"/>
        <w:autoSpaceDE w:val="false"/>
        <w:rPr>
          <w:rFonts w:eastAsia="Arial"/>
          <w:b/>
        </w:rPr>
      </w:pPr>
      <w:r>
        <w:rPr>
          <w:rFonts w:eastAsia="Arial"/>
          <w:b/>
        </w:rPr>
        <w:t>I. TRẮC NGHIỆM: (5 điểm)</w:t>
      </w:r>
    </w:p>
    <w:p>
      <w:pPr>
        <w:pStyle w:val="Normal"/>
        <w:widowControl w:val="false"/>
        <w:autoSpaceDE w:val="false"/>
        <w:jc w:val="center"/>
        <w:rPr>
          <w:rFonts w:eastAsia="Arial"/>
          <w:b/>
        </w:rPr>
      </w:pPr>
      <w:r>
        <w:rPr>
          <w:rFonts w:eastAsia="Arial"/>
          <w:b/>
        </w:rPr>
      </w:r>
    </w:p>
    <w:p>
      <w:pPr>
        <w:pStyle w:val="Normal"/>
        <w:widowControl w:val="false"/>
        <w:autoSpaceDE w:val="false"/>
        <w:rPr>
          <w:rFonts w:eastAsia="Arial"/>
          <w:b/>
        </w:rPr>
      </w:pPr>
      <w:r>
        <w:rPr>
          <w:rFonts w:eastAsia="Arial"/>
          <w:b/>
        </w:rPr>
      </w:r>
    </w:p>
    <w:p>
      <w:pPr>
        <w:pStyle w:val="Normal"/>
        <w:widowControl w:val="false"/>
        <w:autoSpaceDE w:val="false"/>
        <w:rPr>
          <w:rFonts w:eastAsia="Arial"/>
        </w:rPr>
      </w:pPr>
      <w:r>
        <w:rPr>
          <w:rFonts w:eastAsia="Arial"/>
        </w:rPr>
      </w:r>
    </w:p>
    <w:tbl>
      <w:tblPr>
        <w:tblW w:w="1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CÂU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Đề 702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II. TỰ LUẬN: (5 điểm)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00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138"/>
        <w:gridCol w:w="979"/>
      </w:tblGrid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CÂU</w:t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ĐIỂM</w:t>
            </w:r>
          </w:p>
        </w:tc>
      </w:tr>
      <w:tr>
        <w:trPr/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>
              <w:rPr>
                <w:b/>
                <w:szCs w:val="28"/>
              </w:rPr>
              <w:t>1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(3,0 điểm)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>1. Ưu, nhược điểm của ngành giao thông vận tải ô tô: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a.Ưu điểm: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Tiện lợi, cơ động và khả năng thích nghi cao với các điều kiện địa hình.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Có hiệu quả kinh tế cao trên các cự li vận chuyển ngắn và trung bình.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Đáp ứng các yêu cầu vận chuyển đa dạng của khách hàng.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- Phối hợp được với hoạt động của các loại phương tiện vận tải khác như: đường sắt, đường thủy, đường hàng không….. 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b. Nhược điểm: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Gây ra những vấn đề nghiêm trọng về môi trường: ô nhiễm không khí, tiếng ồn…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Gây nhiều tai nạn giao thông.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2,0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>
        <w:trPr/>
        <w:tc>
          <w:tcPr>
            <w:tcW w:w="9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>2. Giải pháp khắc phục các nhược điểm của ngành giao thông vận tải đường ô tô: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Tăng cường các phương tiện giao thông công cộng, hạn chế các phương tiện giao thông cá nhân.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Sử dụng năng lượng sạch để hạn chế chất thải.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Nâng cấp cơ sở hạ tầng giao thông.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- Nâng cao ý thức người tham gia giao thông.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rPr>
                <w:i/>
                <w:i/>
                <w:szCs w:val="28"/>
              </w:rPr>
            </w:pPr>
            <w:r>
              <w:rPr>
                <w:i/>
                <w:szCs w:val="28"/>
              </w:rPr>
              <w:t>(Nếu HS trình bày không giống theo hướng dẫn chấm nhưng vẫn đảm bảo giải quyết được các vấn đề nêu trên, GV vẫn linh hoạt cho điểm.</w:t>
            </w:r>
          </w:p>
          <w:p>
            <w:pPr>
              <w:pStyle w:val="Normal"/>
              <w:rPr/>
            </w:pPr>
            <w:r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  <w:u w:val="single"/>
              </w:rPr>
              <w:t>VD:</w:t>
            </w:r>
            <w:r>
              <w:rPr>
                <w:i/>
                <w:szCs w:val="28"/>
              </w:rPr>
              <w:t xml:space="preserve">  Phát triển nhiều phương tiện chạy bằng điện, năng lượng mặt trời…)</w:t>
            </w:r>
          </w:p>
          <w:p>
            <w:pPr>
              <w:pStyle w:val="Normal"/>
              <w:rPr>
                <w:i/>
                <w:i/>
                <w:szCs w:val="28"/>
              </w:rPr>
            </w:pPr>
            <w:r>
              <w:rPr>
                <w:i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1,0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(2,0 điểm)</w:t>
            </w:r>
          </w:p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  <w:tc>
          <w:tcPr>
            <w:tcW w:w="8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Cs w:val="28"/>
              </w:rPr>
              <w:t xml:space="preserve">a. Xử lí số liệu: </w:t>
            </w:r>
            <w:r>
              <w:rPr>
                <w:szCs w:val="28"/>
              </w:rPr>
              <w:t>Tính tốc độ tăng trưởng %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tbl>
            <w:tblPr>
              <w:tblW w:w="600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1"/>
              <w:gridCol w:w="1201"/>
              <w:gridCol w:w="1201"/>
              <w:gridCol w:w="1202"/>
              <w:gridCol w:w="1202"/>
            </w:tblGrid>
            <w:tr>
              <w:trPr/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Năm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2000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2005</w: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2010</w: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2015</w:t>
                  </w:r>
                </w:p>
              </w:tc>
            </w:tr>
            <w:tr>
              <w:trPr/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Than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100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294,0</w: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386,2</w: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359,5</w:t>
                  </w:r>
                </w:p>
              </w:tc>
            </w:tr>
            <w:tr>
              <w:trPr/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Điện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100</w:t>
                  </w:r>
                </w:p>
              </w:tc>
              <w:tc>
                <w:tcPr>
                  <w:tcW w:w="1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195,1</w: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343,4</w:t>
                  </w:r>
                </w:p>
              </w:tc>
              <w:tc>
                <w:tcPr>
                  <w:tcW w:w="1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591,4</w:t>
                  </w:r>
                </w:p>
              </w:tc>
            </w:tr>
          </w:tbl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rPr>
                <w:b/>
                <w:i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Lưu ý:</w:t>
            </w:r>
          </w:p>
          <w:p>
            <w:pPr>
              <w:pStyle w:val="Normal"/>
              <w:rPr/>
            </w:pPr>
            <w:r>
              <w:rPr>
                <w:szCs w:val="28"/>
                <w:lang w:val="vi-VN"/>
              </w:rPr>
              <w:t xml:space="preserve"> </w:t>
            </w:r>
            <w:r>
              <w:rPr>
                <w:i/>
                <w:szCs w:val="28"/>
                <w:lang w:val="vi-VN"/>
              </w:rPr>
              <w:t>- HS có thể làm tròn số.</w:t>
            </w:r>
          </w:p>
          <w:p>
            <w:pPr>
              <w:pStyle w:val="Normal"/>
              <w:rPr>
                <w:i/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- thiếu đơn vị, số liệu xử lý sai 1 năm :- 0,25 điểm</w:t>
            </w:r>
          </w:p>
          <w:p>
            <w:pPr>
              <w:pStyle w:val="Normal"/>
              <w:rPr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b. Chọn dạng biểu đồ:</w:t>
            </w:r>
            <w:r>
              <w:rPr>
                <w:szCs w:val="28"/>
                <w:lang w:val="vi-VN"/>
              </w:rPr>
              <w:t xml:space="preserve"> Biểu đồ đường (đồ thị) </w:t>
            </w:r>
            <w:r>
              <w:rPr>
                <w:i/>
                <w:szCs w:val="28"/>
                <w:lang w:val="vi-VN"/>
              </w:rPr>
              <w:t xml:space="preserve">.(Nêu dạng biểu đồ khác không cho điểm) </w:t>
            </w:r>
          </w:p>
          <w:p>
            <w:pPr>
              <w:pStyle w:val="Normal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c. Nhận xét:</w:t>
            </w:r>
          </w:p>
          <w:p>
            <w:pPr>
              <w:pStyle w:val="Normal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Từ năm 2000 đến 2015 sản lượng than, điện nước ta đều tăng.</w:t>
            </w:r>
          </w:p>
          <w:p>
            <w:pPr>
              <w:pStyle w:val="Normal"/>
              <w:rPr/>
            </w:pPr>
            <w:r>
              <w:rPr>
                <w:szCs w:val="28"/>
                <w:lang w:val="vi-VN"/>
              </w:rPr>
              <w:t xml:space="preserve">- Sản lượng than tăng 359,5%, sản lượng điện tăng 591,4%. </w:t>
            </w:r>
            <w:r>
              <w:rPr>
                <w:i/>
                <w:szCs w:val="28"/>
                <w:lang w:val="vi-VN"/>
              </w:rPr>
              <w:t>(hoặc HS nêu được: sản lượng điện tăng nhanh hơn sản lượng than, sản lượng than tăng chậm hơn sản lượng điện….GV vẫn cho điểm tối đa)</w:t>
            </w:r>
          </w:p>
          <w:p>
            <w:pPr>
              <w:pStyle w:val="Normal"/>
              <w:rPr>
                <w:i/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0,5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0,25</w:t>
            </w:r>
          </w:p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autoSpaceDE w:val="false"/>
        <w:rPr/>
      </w:pPr>
      <w:r>
        <w:rPr>
          <w:rFonts w:eastAsia="Times New Roman"/>
        </w:rPr>
        <w:t xml:space="preserve">                            </w:t>
      </w:r>
      <w:r>
        <w:rPr>
          <w:rFonts w:eastAsia="Arial"/>
        </w:rPr>
        <w:t>-----------------------------------Hết -----------------------------</w:t>
      </w:r>
    </w:p>
    <w:p>
      <w:pPr>
        <w:pStyle w:val="Normal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/>
      </w:r>
    </w:p>
    <w:p>
      <w:pPr>
        <w:pStyle w:val="Normal"/>
        <w:tabs>
          <w:tab w:val="clear" w:pos="720"/>
          <w:tab w:val="left" w:pos="3042" w:leader="none"/>
          <w:tab w:val="left" w:pos="5802" w:leader="none"/>
          <w:tab w:val="left" w:pos="8562" w:leader="none"/>
        </w:tabs>
        <w:ind w:left="283" w:right="0"/>
        <w:rPr/>
      </w:pPr>
      <w:r>
        <w:rPr/>
      </w:r>
    </w:p>
    <w:p>
      <w:pPr>
        <w:pStyle w:val="Normal"/>
        <w:ind w:right="-1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284" w:top="851" w:footer="227" w:bottom="851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.VnTime">
    <w:charset w:val="00"/>
    <w:family w:val="swiss"/>
    <w:pitch w:val="variable"/>
  </w:font>
  <w:font w:name="VNI-Times"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nArial">
    <w:charset w:val="00"/>
    <w:family w:val="auto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5" w:leader="none"/>
      </w:tabs>
      <w:rPr>
        <w:rFonts w:ascii="Times New Roman" w:hAnsi="Times New Roman" w:cs="Times New Roman"/>
      </w:rPr>
    </w:pPr>
    <w:r>
      <w:rPr>
        <w:rFonts w:cs="Times New Roman" w:ascii="Times New Roman" w:hAnsi="Times New Roman"/>
        <w:b/>
        <w:color w:val="00B0F0"/>
        <w:lang w:val="nl-NL"/>
      </w:rPr>
      <w:t xml:space="preserve">                                                               </w:t>
    </w: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 xml:space="preserve"/>
    </w:r>
    <w:r>
      <w:rPr>
        <w:rFonts w:cs="Times New Roman" w:ascii="Times New Roman" w:hAnsi="Times New Roman"/>
      </w:rPr>
      <w:tab/>
      <w:t xml:space="preserve">Trang </w:t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4</w:t>
    </w:r>
    <w:r>
      <w:rPr>
        <w:rFonts w:cs="Times New Roman" w:ascii="Times New Roman" w:hAnsi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6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eastAsia="Times New Roman" w:cs="Times New Roman"/>
      <w:color w:val="FF0000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b/>
      <w:color w:val="0000CC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eastAsia="Times New Roman" w:cs="Times New Roman"/>
      <w:color w:val="FF0000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eastAsia="Times New Roman" w:cs="Times New Roman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1">
    <w:name w:val="WW8Num38z1"/>
    <w:qFormat/>
    <w:rPr>
      <w:b/>
    </w:rPr>
  </w:style>
  <w:style w:type="character" w:styleId="WW8Num40z0">
    <w:name w:val="WW8Num40z0"/>
    <w:qFormat/>
    <w:rPr/>
  </w:style>
  <w:style w:type="character" w:styleId="WW8Num41z0">
    <w:name w:val="WW8Num41z0"/>
    <w:qFormat/>
    <w:rPr>
      <w:b/>
      <w:i/>
    </w:rPr>
  </w:style>
  <w:style w:type="character" w:styleId="WW8Num42z0">
    <w:name w:val="WW8Num42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  <w:szCs w:val="16"/>
    </w:rPr>
  </w:style>
  <w:style w:type="character" w:styleId="ff4">
    <w:name w:val="ff4"/>
    <w:basedOn w:val="DefaultParagraphFont"/>
    <w:qFormat/>
    <w:rPr/>
  </w:style>
  <w:style w:type="character" w:styleId="PageNumber">
    <w:name w:val="Page Number"/>
    <w:basedOn w:val="DefaultParagraphFont"/>
    <w:rPr/>
  </w:style>
  <w:style w:type="character" w:styleId="ListParagraphChar">
    <w:name w:val="List Paragraph Char"/>
    <w:qFormat/>
    <w:rPr>
      <w:sz w:val="24"/>
      <w:szCs w:val="22"/>
    </w:rPr>
  </w:style>
  <w:style w:type="character" w:styleId="Strong">
    <w:name w:val="Strong"/>
    <w:qFormat/>
    <w:rPr>
      <w:b/>
      <w:bCs/>
    </w:rPr>
  </w:style>
  <w:style w:type="character" w:styleId="HeaderChar">
    <w:name w:val="Header Char"/>
    <w:qFormat/>
    <w:rPr>
      <w:rFonts w:ascii=".VnTime" w:hAnsi=".VnTime" w:cs=".VnTime"/>
      <w:sz w:val="24"/>
      <w:szCs w:val="24"/>
    </w:rPr>
  </w:style>
  <w:style w:type="character" w:styleId="FooterChar">
    <w:name w:val="Footer Char"/>
    <w:qFormat/>
    <w:rPr>
      <w:rFonts w:ascii="VNI-Times" w:hAnsi="VNI-Times" w:cs="VNI-Times"/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/>
    <w:rPr>
      <w:rFonts w:ascii="VnArial" w:hAnsi="VnArial" w:cs="VnArial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qFormat/>
    <w:pPr/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VNI-Times" w:hAnsi="VNI-Times" w:cs="VNI-Times"/>
      <w:sz w:val="24"/>
      <w:szCs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.VnTime" w:hAnsi=".VnTime" w:cs=".VnTime"/>
      <w:sz w:val="24"/>
      <w:szCs w:val="24"/>
    </w:rPr>
  </w:style>
  <w:style w:type="paragraph" w:styleId="BodyTextIndent">
    <w:name w:val="Body Text Indent"/>
    <w:basedOn w:val="Normal"/>
    <w:pPr>
      <w:tabs>
        <w:tab w:val="clear" w:pos="720"/>
        <w:tab w:val="left" w:pos="187" w:leader="none"/>
        <w:tab w:val="left" w:pos="374" w:leader="none"/>
      </w:tabs>
      <w:ind w:hanging="0" w:left="720" w:right="0"/>
      <w:jc w:val="both"/>
    </w:pPr>
    <w:rPr/>
  </w:style>
  <w:style w:type="paragraph" w:styleId="1">
    <w:name w:val="1"/>
    <w:basedOn w:val="Normal"/>
    <w:qFormat/>
    <w:pPr>
      <w:spacing w:lineRule="exact" w:line="240" w:before="0" w:after="160"/>
      <w:ind w:firstLine="567" w:left="0" w:right="0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  <w:contextualSpacing/>
    </w:pPr>
    <w:rPr>
      <w:sz w:val="24"/>
      <w:szCs w:val="22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2020-01-04T08:55:00Z</dcterms:created>
  <dc:creator>tailieu123.edu.vn</dc:creator>
  <dc:description>Đề thi học kỳ 2 môn Địa lớp 10 Quảng Nam 2018-2019 có đáp án được soạn dưới dạng file Word gồm 4 trang. Các bạn xem và tải về ở dưới.</dc:description>
  <dc:language>en-US</dc:language>
  <dcterms:modified xsi:type="dcterms:W3CDTF">2020-01-04T08:55:00Z</dcterms:modified>
  <cp:revision>1</cp:revision>
  <dc:title>Đề Thi Học Kỳ 2 Môn Địa Lí 10 Quảng Nam 2018-2019 Có Đáp Án</dc:title>
</cp:coreProperties>
</file>